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719"/>
        <w:gridCol w:w="2216"/>
        <w:gridCol w:w="1418"/>
        <w:gridCol w:w="2037"/>
      </w:tblGrid>
      <w:tr w:rsidR="00AB48E0" w14:paraId="398EEEA1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5F22D" w14:textId="08B96FE4" w:rsidR="00DB6B38" w:rsidRDefault="00DB6B38" w:rsidP="00244959">
            <w:pPr>
              <w:spacing w:after="0" w:line="240" w:lineRule="auto"/>
              <w:jc w:val="center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ACTIONS</w:t>
            </w:r>
            <w:r w:rsidR="004A3794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A3794">
              <w:rPr>
                <w:rFonts w:eastAsia="Times New Roman"/>
                <w:b/>
                <w:i/>
                <w:sz w:val="24"/>
                <w:szCs w:val="24"/>
              </w:rPr>
              <w:t>proposées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867BD" w14:textId="25658A26" w:rsidR="00DB6B38" w:rsidRDefault="004A3794" w:rsidP="004A379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GAP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Principes</w:t>
            </w:r>
            <w:proofErr w:type="spellEnd"/>
            <w:r w:rsidR="00DB6B38">
              <w:rPr>
                <w:rFonts w:eastAsia="Times New Roman"/>
                <w:b/>
                <w:i/>
                <w:sz w:val="24"/>
                <w:szCs w:val="24"/>
              </w:rPr>
              <w:t>(s)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08AC3" w14:textId="064A35B5" w:rsidR="00DB6B38" w:rsidRPr="004A3794" w:rsidRDefault="004A3794" w:rsidP="004A3794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 xml:space="preserve">Temporalité </w:t>
            </w:r>
            <w:r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annuel</w:t>
            </w:r>
            <w:r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le</w:t>
            </w:r>
            <w:r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="00DB6B38"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(a</w:t>
            </w:r>
            <w:r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 xml:space="preserve"> minima par trimestre/semest</w:t>
            </w:r>
            <w:r w:rsidR="00DB6B38"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r</w:t>
            </w:r>
            <w:r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e</w:t>
            </w:r>
            <w:r w:rsidR="00DB6B38" w:rsidRPr="004A3794">
              <w:rPr>
                <w:rFonts w:eastAsia="Times New Roman"/>
                <w:b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83128" w14:textId="24588D16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Unit</w:t>
            </w:r>
            <w:r w:rsidR="004A3794">
              <w:rPr>
                <w:rFonts w:eastAsia="Times New Roman"/>
                <w:b/>
                <w:i/>
                <w:sz w:val="24"/>
                <w:szCs w:val="24"/>
              </w:rPr>
              <w:t>é</w:t>
            </w:r>
            <w:proofErr w:type="spellEnd"/>
            <w:r w:rsidR="004A3794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A3794">
              <w:rPr>
                <w:rFonts w:eastAsia="Times New Roman"/>
                <w:b/>
                <w:i/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2AEF5" w14:textId="7DBF50F8" w:rsidR="00DB6B38" w:rsidRDefault="004A3794" w:rsidP="004A3794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Indicateu</w:t>
            </w:r>
            <w:r w:rsidR="00DB6B38">
              <w:rPr>
                <w:rFonts w:eastAsia="Times New Roman"/>
                <w:b/>
                <w:i/>
                <w:sz w:val="24"/>
                <w:szCs w:val="24"/>
              </w:rPr>
              <w:t>r</w:t>
            </w:r>
            <w:proofErr w:type="spellEnd"/>
            <w:r w:rsidR="00DB6B38">
              <w:rPr>
                <w:rFonts w:eastAsia="Times New Roman"/>
                <w:b/>
                <w:i/>
                <w:sz w:val="24"/>
                <w:szCs w:val="24"/>
              </w:rPr>
              <w:t xml:space="preserve">(s) /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</w:rPr>
              <w:t>Cible</w:t>
            </w:r>
            <w:proofErr w:type="spellEnd"/>
            <w:r w:rsidR="00DB6B38">
              <w:rPr>
                <w:rFonts w:eastAsia="Times New Roman"/>
                <w:b/>
                <w:i/>
                <w:sz w:val="24"/>
                <w:szCs w:val="24"/>
              </w:rPr>
              <w:t>(s)</w:t>
            </w:r>
          </w:p>
        </w:tc>
      </w:tr>
      <w:tr w:rsidR="00AB48E0" w14:paraId="4DB0539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99E" w14:textId="298131DB" w:rsidR="00DB6B38" w:rsidRDefault="004A3794" w:rsidP="00244959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100 mots maximum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827" w14:textId="77777777" w:rsidR="00DB6B38" w:rsidRDefault="00DB6B38" w:rsidP="00244959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Retrieved from the GAP Analysis</w:t>
            </w:r>
          </w:p>
          <w:p w14:paraId="392F0D45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662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108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B2C" w14:textId="77777777" w:rsidR="00DB6B38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18"/>
                <w:szCs w:val="18"/>
              </w:rPr>
            </w:pPr>
          </w:p>
        </w:tc>
      </w:tr>
      <w:tr w:rsidR="008D4D3E" w:rsidRPr="00B43724" w14:paraId="2F46C30B" w14:textId="77777777" w:rsidTr="00D43230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040" w14:textId="1A5CF544" w:rsidR="008D4D3E" w:rsidRPr="00B43724" w:rsidRDefault="00B43724" w:rsidP="008D4D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B43724">
              <w:rPr>
                <w:rFonts w:asciiTheme="minorHAnsi" w:hAnsiTheme="minorHAnsi" w:cstheme="minorHAnsi"/>
                <w:b/>
                <w:bCs/>
                <w:lang w:val="fr-FR"/>
              </w:rPr>
              <w:t>Aspects éthiques et professionnels</w:t>
            </w:r>
          </w:p>
        </w:tc>
      </w:tr>
      <w:tr w:rsidR="00AB48E0" w:rsidRPr="000E399B" w14:paraId="45D109E2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2C4" w14:textId="26FFC635" w:rsidR="00DB6B38" w:rsidRPr="00CE631C" w:rsidRDefault="00DB6B38" w:rsidP="00D2260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fr-FR"/>
              </w:rPr>
            </w:pPr>
            <w:r w:rsidRPr="00CE631C">
              <w:rPr>
                <w:rFonts w:eastAsia="Times New Roman"/>
                <w:iCs/>
                <w:lang w:val="fr-FR"/>
              </w:rPr>
              <w:t>1.1</w:t>
            </w:r>
            <w:r w:rsidR="00E23C23" w:rsidRPr="00CE631C">
              <w:rPr>
                <w:rFonts w:eastAsia="Times New Roman"/>
                <w:iCs/>
                <w:lang w:val="fr-FR"/>
              </w:rPr>
              <w:t xml:space="preserve"> </w:t>
            </w:r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Une formation de sensibilisation à l'intégrité scientifique est systématiquement proposée à </w:t>
            </w:r>
            <w:proofErr w:type="spellStart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tous·tes</w:t>
            </w:r>
            <w:proofErr w:type="spellEnd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</w:t>
            </w:r>
            <w:proofErr w:type="spellStart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directeur·trices</w:t>
            </w:r>
            <w:proofErr w:type="spellEnd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thèse (y compris les MOOC) sur les principes éthiques et contre les  Violences Sexistes et Sexuelles et égalité (formation obligatoire pour </w:t>
            </w:r>
            <w:proofErr w:type="spellStart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tous·tes</w:t>
            </w:r>
            <w:proofErr w:type="spellEnd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</w:t>
            </w:r>
            <w:proofErr w:type="spellStart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directeur·trices</w:t>
            </w:r>
            <w:proofErr w:type="spellEnd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thèse ), conformément au Plan Egalité 2024-2026 (page 43) : Mesure 4.4.5, 4.4.10, 4.4.17 « Proposer des formations aux </w:t>
            </w:r>
            <w:proofErr w:type="spellStart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enseignant·es</w:t>
            </w:r>
            <w:proofErr w:type="spellEnd"/>
            <w:r w:rsidR="00CE631C" w:rsidRPr="009408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(tout statut confondu) aux pratiques d’enseignement égalitaire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82E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D55A5E">
              <w:rPr>
                <w:rFonts w:eastAsia="Times New Roman"/>
                <w:i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8A6" w14:textId="5132583D" w:rsidR="00DB6B38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D2260A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2026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315" w14:textId="219E08B4" w:rsidR="00D2260A" w:rsidRPr="007821A2" w:rsidRDefault="00D2260A" w:rsidP="00D22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>Mission</w:t>
            </w:r>
            <w:r w:rsidR="003C1095" w:rsidRPr="007821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C1095" w:rsidRPr="007821A2">
              <w:rPr>
                <w:rFonts w:asciiTheme="minorHAnsi" w:hAnsiTheme="minorHAnsi" w:cstheme="minorHAnsi"/>
                <w:sz w:val="20"/>
                <w:szCs w:val="20"/>
              </w:rPr>
              <w:t>Egalité</w:t>
            </w:r>
            <w:proofErr w:type="spellEnd"/>
          </w:p>
          <w:p w14:paraId="3D9D4184" w14:textId="557F8DC0" w:rsidR="00DB6B38" w:rsidRPr="007821A2" w:rsidRDefault="00D00847" w:rsidP="00D2260A">
            <w:pPr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8C2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Nombre de personnels en situation d’encadrement formés en comparaison du nombre de personnels ciblés</w:t>
            </w:r>
          </w:p>
          <w:p w14:paraId="54E73B0B" w14:textId="08D0D3C7" w:rsidR="00DB6B38" w:rsidRPr="003C7134" w:rsidRDefault="00DB6B38" w:rsidP="00D226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fr-FR"/>
              </w:rPr>
            </w:pPr>
          </w:p>
        </w:tc>
      </w:tr>
      <w:tr w:rsidR="00AB48E0" w:rsidRPr="008D4D3E" w14:paraId="7357930C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B8B" w14:textId="77777777" w:rsidR="00940882" w:rsidRPr="003C1095" w:rsidRDefault="00DB6B38" w:rsidP="00572F6B">
            <w:pPr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1.2</w:t>
            </w:r>
            <w:r w:rsidR="00E23C23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="00940882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Formation des </w:t>
            </w:r>
            <w:proofErr w:type="spellStart"/>
            <w:r w:rsidR="00940882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nouveaux·lles</w:t>
            </w:r>
            <w:proofErr w:type="spellEnd"/>
            <w:r w:rsidR="00940882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40882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recruté·es</w:t>
            </w:r>
            <w:proofErr w:type="spellEnd"/>
            <w:r w:rsidR="00940882" w:rsidRPr="003C109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à l'éthique et à l'intégrité de la recherche :</w:t>
            </w:r>
          </w:p>
          <w:p w14:paraId="7F750AB9" w14:textId="013ABB95" w:rsidR="00DB6B38" w:rsidRPr="00940882" w:rsidRDefault="00940882" w:rsidP="00940882">
            <w:pPr>
              <w:rPr>
                <w:rFonts w:ascii="Palatino Linotype" w:hAnsi="Palatino Linotype" w:cs="Arial"/>
                <w:sz w:val="20"/>
                <w:szCs w:val="20"/>
                <w:lang w:val="fr-FR"/>
              </w:rPr>
            </w:pPr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Formation des nouveaux </w:t>
            </w:r>
            <w:proofErr w:type="spellStart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docto</w:t>
            </w:r>
            <w:bookmarkStart w:id="0" w:name="_GoBack"/>
            <w:bookmarkEnd w:id="0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rant·es</w:t>
            </w:r>
            <w:proofErr w:type="spellEnd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(R1), post- </w:t>
            </w:r>
            <w:proofErr w:type="spellStart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doctorant·es</w:t>
            </w:r>
            <w:proofErr w:type="spellEnd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(R2), </w:t>
            </w:r>
            <w:proofErr w:type="spellStart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Attaché·es</w:t>
            </w:r>
            <w:proofErr w:type="spellEnd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temporaire d'enseignement et de recherche (ATER) (R1, R2),Formation des </w:t>
            </w:r>
            <w:proofErr w:type="spellStart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Maitre·sse</w:t>
            </w:r>
            <w:proofErr w:type="spellEnd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de Conférence (R3) </w:t>
            </w:r>
            <w:proofErr w:type="spellStart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Chargé·es</w:t>
            </w:r>
            <w:proofErr w:type="spellEnd"/>
            <w:r w:rsidRPr="0094088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de Recherche du développement durable (R3)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36D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F20" w14:textId="40248D6B" w:rsidR="00DB6B38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E23C23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2026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9AA" w14:textId="1A65B689" w:rsidR="008D4D3E" w:rsidRPr="000E399B" w:rsidRDefault="00D00847" w:rsidP="008D4D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DGDRH</w:t>
            </w:r>
            <w:r w:rsidR="008D4D3E"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14:paraId="62849408" w14:textId="77777777" w:rsidR="008D4D3E" w:rsidRPr="000E399B" w:rsidRDefault="008D4D3E" w:rsidP="008D4D3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CIPEN </w:t>
            </w:r>
          </w:p>
          <w:p w14:paraId="5E94D95B" w14:textId="3ADA969F" w:rsidR="00DB6B38" w:rsidRPr="000E399B" w:rsidRDefault="003C1095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Ecoles doctorales</w:t>
            </w:r>
            <w:r w:rsidR="008D4D3E"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(R1)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3E4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Liste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 xml:space="preserve"> de participants </w:t>
            </w:r>
          </w:p>
          <w:p w14:paraId="0F636648" w14:textId="5BE3530E" w:rsidR="00DB6B38" w:rsidRPr="003C7134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AB48E0" w:rsidRPr="000E399B" w14:paraId="04514CCB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AB9" w14:textId="5AD3B9B4" w:rsidR="00DB6B38" w:rsidRPr="00997A8C" w:rsidRDefault="00D2260A" w:rsidP="00572F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997A8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2.</w:t>
            </w:r>
            <w:r w:rsidR="004D6D1B" w:rsidRPr="00997A8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1</w:t>
            </w:r>
            <w:r w:rsidR="00E23C23" w:rsidRPr="00997A8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="00997A8C" w:rsidRPr="00997A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Rédaction d’une procédure adaptée pour les </w:t>
            </w:r>
            <w:proofErr w:type="spellStart"/>
            <w:r w:rsidR="00997A8C" w:rsidRPr="00997A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chercheur·euses</w:t>
            </w:r>
            <w:proofErr w:type="spellEnd"/>
            <w:r w:rsidR="00997A8C" w:rsidRPr="00997A8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concernant le montage de projets à tout niveau (national à international)  et mise en application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C53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9B5" w14:textId="75AAA990" w:rsidR="00DB6B38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T1</w:t>
            </w:r>
            <w:r w:rsidR="00E23C23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and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T4</w:t>
            </w:r>
            <w:r w:rsidR="00E23C23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2026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T1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and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T1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and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T1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and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T1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and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65E" w14:textId="08B1C770" w:rsidR="00DB6B38" w:rsidRPr="007821A2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E5C" w14:textId="7FAC9DF7" w:rsidR="00DB6B38" w:rsidRPr="003C7134" w:rsidRDefault="00356EF6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Bilan annuel via tableau de comptage de projets soumis via la procédure</w:t>
            </w:r>
          </w:p>
        </w:tc>
      </w:tr>
      <w:tr w:rsidR="00AB48E0" w:rsidRPr="000E399B" w14:paraId="6AA67E0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228" w14:textId="7C139A61" w:rsidR="00DB6B38" w:rsidRPr="00117479" w:rsidRDefault="00DB6B38" w:rsidP="00572F6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1174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</w:t>
            </w:r>
            <w:r w:rsidR="00990E86" w:rsidRPr="001174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4F0C40" w:rsidRPr="001174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117479" w:rsidRPr="001174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Les</w:t>
            </w:r>
            <w:proofErr w:type="gramEnd"/>
            <w:r w:rsidR="00117479" w:rsidRPr="001174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comités de recrutement devraient ajouter des règles de non-discrimination à leurs codes de pratique internes et indiquer comment ces règles sont appliquées.</w:t>
            </w:r>
          </w:p>
          <w:p w14:paraId="7BEE8965" w14:textId="77777777" w:rsidR="00DB6B38" w:rsidRPr="00117479" w:rsidRDefault="00DB6B38" w:rsidP="0024495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216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C5A" w14:textId="2AE8B943" w:rsidR="00DB6B38" w:rsidRPr="00D55A5E" w:rsidRDefault="00CD50F4" w:rsidP="004D6D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2025,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2026,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1AD" w14:textId="69E66E05" w:rsidR="00DB6B38" w:rsidRPr="007821A2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</w:t>
            </w:r>
            <w:r w:rsidR="00D2260A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GD</w:t>
            </w: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CE8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Rapports annuels </w:t>
            </w:r>
          </w:p>
          <w:p w14:paraId="03AD25AB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Cible : l'ensemble de la communauté universitaire</w:t>
            </w:r>
          </w:p>
          <w:p w14:paraId="4D69B08A" w14:textId="5EAF732C" w:rsidR="00DB6B38" w:rsidRPr="003C7134" w:rsidRDefault="00DB6B38" w:rsidP="00990E8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</w:tc>
      </w:tr>
      <w:tr w:rsidR="00AB48E0" w:rsidRPr="000E399B" w14:paraId="097CDC1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6F7" w14:textId="7F8C317C" w:rsidR="000F592E" w:rsidRPr="000F592E" w:rsidRDefault="00DB6B38" w:rsidP="000F59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F59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3.2</w:t>
            </w:r>
            <w:r w:rsidR="000F592E" w:rsidRPr="000F59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Les actions doivent être menées dans le cadre du </w:t>
            </w:r>
            <w:hyperlink r:id="rId8" w:tooltip="https://mission-egalite.univ-gustave-eiffel.fr/fileadmin/contributeurs/Mission-egalite/Plan/Plan_EFH_2024-2026_EN_vd.pdf" w:history="1">
              <w:r w:rsidR="000F592E" w:rsidRPr="000F592E">
                <w:rPr>
                  <w:rFonts w:asciiTheme="minorHAnsi" w:hAnsiTheme="minorHAnsi" w:cstheme="minorHAnsi"/>
                  <w:szCs w:val="20"/>
                  <w:lang w:val="fr-FR"/>
                </w:rPr>
                <w:t>Plan égalité 2024 - 2026</w:t>
              </w:r>
            </w:hyperlink>
            <w:r w:rsidR="000F592E" w:rsidRPr="000F59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(disponible en français et en anglais, sur le site de la mission égalité) voté par le Conseil d'administration le 12 décembre 2024 :</w:t>
            </w:r>
          </w:p>
          <w:p w14:paraId="48CA86A1" w14:textId="09FA77D5" w:rsidR="000F592E" w:rsidRDefault="000F592E" w:rsidP="000F59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F592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Mesure 2.1 (p.20): « Veiller au respect de la désignation, dans une proportion minimale de 40 % de chaque genre »</w:t>
            </w:r>
          </w:p>
          <w:p w14:paraId="68D3E923" w14:textId="24A3DDDA" w:rsidR="000E399B" w:rsidRPr="000E399B" w:rsidRDefault="000E399B" w:rsidP="000F592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Mesure 2.9 (p.24): « Continuer de suivre chaque année la répartition femmes-hommes des postes d’encadrement »</w:t>
            </w:r>
          </w:p>
          <w:p w14:paraId="103E32A8" w14:textId="60D30928" w:rsidR="00DB6B38" w:rsidRPr="000F592E" w:rsidRDefault="00DB6B38" w:rsidP="006844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586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BE4" w14:textId="106B03BE" w:rsidR="00DB6B38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2025,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2026,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491" w14:textId="7D0B192D" w:rsidR="008D4D3E" w:rsidRPr="000E399B" w:rsidRDefault="00D2260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Mission</w:t>
            </w:r>
            <w:r w:rsidR="003C1095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Egalité</w:t>
            </w:r>
          </w:p>
          <w:p w14:paraId="5050FFC7" w14:textId="77777777" w:rsidR="00D2260A" w:rsidRPr="000E399B" w:rsidRDefault="00D2260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  <w:p w14:paraId="6790843E" w14:textId="308B4EAC" w:rsidR="003C1095" w:rsidRPr="000E399B" w:rsidRDefault="003C1095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Mission</w:t>
            </w:r>
          </w:p>
          <w:p w14:paraId="2F976B64" w14:textId="6B55FA38" w:rsidR="00684490" w:rsidRPr="000E399B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DD&amp;RS</w:t>
            </w:r>
            <w:r w:rsidR="001E58E8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</w:p>
          <w:p w14:paraId="10C7FBF6" w14:textId="77777777" w:rsidR="00D00847" w:rsidRPr="000E399B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  <w:p w14:paraId="190594E0" w14:textId="1D804D2E" w:rsidR="00D00847" w:rsidRPr="000E399B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D4A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Indicateurs du plan d’égalité 2024-2026 :</w:t>
            </w:r>
          </w:p>
          <w:p w14:paraId="28F74377" w14:textId="77777777" w:rsidR="00356EF6" w:rsidRPr="003C7134" w:rsidRDefault="00356EF6" w:rsidP="00356EF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 M2.1 : synthèse des commissions défaillantes</w:t>
            </w:r>
          </w:p>
          <w:p w14:paraId="062D0DF3" w14:textId="30E3F3B7" w:rsidR="00DB6B38" w:rsidRPr="003C7134" w:rsidRDefault="00356EF6" w:rsidP="00356EF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 M2.9 : % de femmes dans les instances de gouvernance et de dialogue social de l’université ;</w:t>
            </w: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br/>
              <w:t>% de femmes vice-présidentes et directrices d’une des écoles-composantes et école-membre;</w:t>
            </w: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br/>
              <w:t>% de femmes directrices de composante de formation ou de recherche, ou de service</w:t>
            </w:r>
          </w:p>
        </w:tc>
      </w:tr>
      <w:tr w:rsidR="00AB48E0" w:rsidRPr="000E399B" w14:paraId="08871C10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833" w14:textId="77777777" w:rsidR="00ED57DE" w:rsidRDefault="00ED57DE" w:rsidP="00572F6B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D57DE">
              <w:rPr>
                <w:rFonts w:cstheme="minorHAnsi"/>
                <w:sz w:val="20"/>
                <w:szCs w:val="20"/>
              </w:rPr>
              <w:t>Accompagnement de la carrière des chercheuses :</w:t>
            </w:r>
          </w:p>
          <w:p w14:paraId="03775A08" w14:textId="117EECFB" w:rsidR="00ED57DE" w:rsidRPr="00ED57DE" w:rsidRDefault="00ED57DE" w:rsidP="00572F6B">
            <w:pPr>
              <w:pStyle w:val="Paragraphedeliste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D57DE">
              <w:rPr>
                <w:rFonts w:cstheme="minorHAnsi"/>
                <w:sz w:val="20"/>
                <w:szCs w:val="20"/>
              </w:rPr>
              <w:t>Retour congé maternité sans perte de temps sur la carrière</w:t>
            </w:r>
          </w:p>
          <w:p w14:paraId="1613929B" w14:textId="14C593D0" w:rsidR="00DB6B38" w:rsidRPr="00ED57DE" w:rsidRDefault="00ED57DE" w:rsidP="00572F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ED57D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Appui aux chercheuses en milieu de carrière pour l’Habilitation à Diriger les Recherches (HDR)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5A6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3C5" w14:textId="39E19FC4" w:rsidR="00DB6B38" w:rsidRPr="00D55A5E" w:rsidRDefault="00CD50F4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CC093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68449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477" w14:textId="45113300" w:rsidR="00DB6B38" w:rsidRPr="007821A2" w:rsidRDefault="008D4D3E" w:rsidP="003C10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Ca</w:t>
            </w:r>
            <w:r w:rsidR="003B0C3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</w:t>
            </w:r>
            <w:proofErr w:type="spellEnd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3C1095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en</w:t>
            </w:r>
            <w:proofErr w:type="spellEnd"/>
            <w:r w:rsidR="003C1095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formation</w:t>
            </w:r>
            <w:r w:rsidR="003C1095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3C1095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restreinte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009" w14:textId="23807507" w:rsidR="00DB6B38" w:rsidRPr="003C7134" w:rsidRDefault="005C1FF1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Intégration de la mesure dans le prochain plan égalité 2026-2028</w:t>
            </w:r>
          </w:p>
        </w:tc>
      </w:tr>
      <w:tr w:rsidR="00AB48E0" w:rsidRPr="000E399B" w14:paraId="3B13096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FC7" w14:textId="309055CC" w:rsidR="00DB6B38" w:rsidRPr="005D00ED" w:rsidRDefault="00DB6B38" w:rsidP="00572F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5D00E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4.1</w:t>
            </w:r>
            <w:r w:rsidR="00684490" w:rsidRPr="005D00E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D00ED" w:rsidRPr="005D00E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Postdoctorant·e</w:t>
            </w:r>
            <w:proofErr w:type="spellEnd"/>
            <w:r w:rsidR="005D00ED" w:rsidRPr="005D00E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(R2) : un rapport scientifique est demandé par la composante de recherche pour l'évaluation de leur contribution dans le cadre d’un renouvellement de contrat ;</w:t>
            </w:r>
            <w:r w:rsidR="005D00ED" w:rsidRPr="005D00ED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un support d’aide à l’évaluation permettant de mettre en évidence les compétences acquises est fourni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774" w14:textId="77777777" w:rsidR="00DB6B38" w:rsidRPr="00D55A5E" w:rsidRDefault="00DB6B38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7EAC" w14:textId="74114AE0" w:rsidR="00DB6B38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68449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2026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T3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CED8" w14:textId="1F52855E" w:rsidR="00DB6B38" w:rsidRPr="007821A2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3C1095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50D42E39" w14:textId="77777777" w:rsidR="008D4D3E" w:rsidRPr="007821A2" w:rsidRDefault="008D4D3E" w:rsidP="0024495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  <w:p w14:paraId="1986426F" w14:textId="7714C0C5" w:rsidR="008D4D3E" w:rsidRPr="007821A2" w:rsidRDefault="003C1095" w:rsidP="003C109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Composantes de recherche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86B" w14:textId="77777777" w:rsidR="00F20314" w:rsidRPr="003C7134" w:rsidRDefault="00F20314" w:rsidP="00F203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Indicateur : Nombre de R2 présents à l’université et de nombre de rapports produits</w:t>
            </w:r>
          </w:p>
          <w:p w14:paraId="7B435A01" w14:textId="77777777" w:rsidR="00F20314" w:rsidRPr="000E399B" w:rsidRDefault="00F20314" w:rsidP="00F2031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E399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Cible :</w:t>
            </w:r>
          </w:p>
          <w:p w14:paraId="4EAF6DC5" w14:textId="61E0CDD9" w:rsidR="00DB6B38" w:rsidRPr="003C7134" w:rsidRDefault="00F20314" w:rsidP="00F203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80% à deux ans et 100% à cinq ans</w:t>
            </w:r>
          </w:p>
        </w:tc>
      </w:tr>
      <w:tr w:rsidR="00AB48E0" w:rsidRPr="008D4D3E" w14:paraId="6BF02D7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6F1" w14:textId="77777777" w:rsidR="00735A91" w:rsidRPr="00735A91" w:rsidRDefault="008D4D3E" w:rsidP="00735A9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</w:pPr>
            <w:r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4.2 </w:t>
            </w:r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Introduction d’un dispositif d’accompagnement interne avec des pairs pour les </w:t>
            </w:r>
            <w:proofErr w:type="spellStart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chercheur·euses</w:t>
            </w:r>
            <w:proofErr w:type="spellEnd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isolé·es</w:t>
            </w:r>
            <w:proofErr w:type="spellEnd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 xml:space="preserve"> ou en difficulté (R3-R4), en lien avec le Conseil Académique (pour les </w:t>
            </w:r>
            <w:proofErr w:type="spellStart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enseignant·es-chercheur·euses</w:t>
            </w:r>
            <w:proofErr w:type="spellEnd"/>
            <w:r w:rsidR="00735A91" w:rsidRPr="00735A91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)</w:t>
            </w:r>
          </w:p>
          <w:p w14:paraId="645D0218" w14:textId="3277CFBA" w:rsidR="008D4D3E" w:rsidRPr="00735A91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3B6" w14:textId="77777777" w:rsidR="008D4D3E" w:rsidRPr="00D55A5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3A8" w14:textId="6A598925" w:rsidR="008D4D3E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1E58E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3B0C30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ADC" w14:textId="0EB075FE" w:rsidR="00CB616A" w:rsidRPr="007821A2" w:rsidRDefault="00D00847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  <w:p w14:paraId="789CE63A" w14:textId="77777777" w:rsidR="00CB616A" w:rsidRPr="007821A2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DGS</w:t>
            </w:r>
          </w:p>
          <w:p w14:paraId="5E61EC5D" w14:textId="3442B777" w:rsidR="008D4D3E" w:rsidRPr="007821A2" w:rsidRDefault="00CB616A" w:rsidP="00D0084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 R</w:t>
            </w:r>
            <w:r w:rsidR="00D00847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0C" w14:textId="4A020109" w:rsidR="008D4D3E" w:rsidRPr="003C7134" w:rsidRDefault="00412B71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demande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d’entretien</w:t>
            </w:r>
            <w:proofErr w:type="spellEnd"/>
          </w:p>
        </w:tc>
      </w:tr>
      <w:tr w:rsidR="00CB616A" w:rsidRPr="008D4D3E" w14:paraId="7180B2D3" w14:textId="77777777" w:rsidTr="00A43DD3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5C2" w14:textId="10102B08" w:rsidR="00CB616A" w:rsidRPr="003C7134" w:rsidRDefault="00A57DF1" w:rsidP="00CB61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Recrutement</w:t>
            </w:r>
            <w:proofErr w:type="spellEnd"/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 xml:space="preserve"> et </w:t>
            </w:r>
            <w:proofErr w:type="spellStart"/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sélection</w:t>
            </w:r>
            <w:proofErr w:type="spellEnd"/>
          </w:p>
        </w:tc>
      </w:tr>
      <w:tr w:rsidR="00AB48E0" w:rsidRPr="000E399B" w14:paraId="2866E4F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B7A" w14:textId="48799040" w:rsidR="00ED63B2" w:rsidRPr="00B36BDD" w:rsidRDefault="008D4D3E" w:rsidP="00572F6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B36BD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5.1 </w:t>
            </w:r>
            <w:r w:rsidR="00B36BDD" w:rsidRPr="00B36BDD">
              <w:rPr>
                <w:sz w:val="20"/>
                <w:szCs w:val="20"/>
                <w:lang w:val="fr-FR"/>
              </w:rPr>
              <w:t xml:space="preserve">Proposer à la COMEVAL l’intégration dans le règlement </w:t>
            </w:r>
            <w:r w:rsidR="00B36BDD" w:rsidRPr="00B36BDD">
              <w:rPr>
                <w:sz w:val="20"/>
                <w:szCs w:val="20"/>
                <w:lang w:val="fr-FR"/>
              </w:rPr>
              <w:lastRenderedPageBreak/>
              <w:t>intérieur de la COMEVAL des modalités de prise en compte du handicap et de règles de non-discrimination pour application par les jurys dans leur code de pratique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204" w14:textId="77777777" w:rsidR="008D4D3E" w:rsidRPr="00D55A5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F52" w14:textId="02999FC1" w:rsidR="008D4D3E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ED2" w14:textId="5F3A7504" w:rsidR="00CB616A" w:rsidRPr="000E399B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</w:t>
            </w:r>
            <w:r w:rsidR="001E58E8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APP</w:t>
            </w:r>
          </w:p>
          <w:p w14:paraId="6C9678B0" w14:textId="4D8B8DB5" w:rsidR="00CB616A" w:rsidRPr="000E399B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3C1095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1FC71BA7" w14:textId="63A0DA8B" w:rsidR="008D4D3E" w:rsidRPr="000E399B" w:rsidRDefault="00CB616A" w:rsidP="00CB61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lastRenderedPageBreak/>
              <w:t>COMEVAL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77F" w14:textId="621CE830" w:rsidR="008D4D3E" w:rsidRPr="003C7134" w:rsidRDefault="00412B71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Règlement intérieur modifié : oui/non</w:t>
            </w:r>
          </w:p>
        </w:tc>
      </w:tr>
      <w:tr w:rsidR="00AB48E0" w:rsidRPr="000E399B" w14:paraId="22A0FC23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255" w14:textId="64F9A47D" w:rsidR="008D4D3E" w:rsidRPr="00BF05A2" w:rsidRDefault="008D4D3E" w:rsidP="00BF05A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F05A2">
              <w:rPr>
                <w:sz w:val="20"/>
                <w:szCs w:val="20"/>
                <w:lang w:val="fr-FR"/>
              </w:rPr>
              <w:t xml:space="preserve">6.1 </w:t>
            </w:r>
            <w:r w:rsidR="00BF05A2" w:rsidRPr="00BF05A2">
              <w:rPr>
                <w:sz w:val="20"/>
                <w:szCs w:val="20"/>
                <w:lang w:val="fr-FR"/>
              </w:rPr>
              <w:t xml:space="preserve">Diffusion de la Charte des </w:t>
            </w:r>
            <w:proofErr w:type="spellStart"/>
            <w:r w:rsidR="00BF05A2" w:rsidRPr="00BF05A2">
              <w:rPr>
                <w:sz w:val="20"/>
                <w:szCs w:val="20"/>
                <w:lang w:val="fr-FR"/>
              </w:rPr>
              <w:t>contractuels.les</w:t>
            </w:r>
            <w:proofErr w:type="spellEnd"/>
            <w:r w:rsidR="00BF05A2" w:rsidRPr="00BF05A2">
              <w:rPr>
                <w:sz w:val="20"/>
                <w:szCs w:val="20"/>
                <w:lang w:val="fr-FR"/>
              </w:rPr>
              <w:t xml:space="preserve"> aux personnels concernés, accessible facilement sur l’intranet et le site web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CDD" w14:textId="77777777" w:rsidR="008D4D3E" w:rsidRPr="00D55A5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6CA" w14:textId="3F4FB056" w:rsidR="008D4D3E" w:rsidRPr="00D55A5E" w:rsidRDefault="00CD50F4" w:rsidP="003B0C3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851" w14:textId="02AACD85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976" w14:textId="524B9F87" w:rsidR="008D4D3E" w:rsidRPr="003C7134" w:rsidRDefault="002208E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Mise en ligne de la charte</w:t>
            </w:r>
          </w:p>
        </w:tc>
      </w:tr>
      <w:tr w:rsidR="00AB48E0" w:rsidRPr="000E399B" w14:paraId="4E041BA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D25" w14:textId="1B76FCD1" w:rsidR="008D4D3E" w:rsidRPr="001A6CB8" w:rsidRDefault="008D4D3E" w:rsidP="001A6CB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1A6CB8">
              <w:rPr>
                <w:sz w:val="20"/>
                <w:szCs w:val="20"/>
                <w:lang w:val="fr-FR"/>
              </w:rPr>
              <w:t xml:space="preserve">6.2 </w:t>
            </w:r>
            <w:r w:rsidR="001A6CB8" w:rsidRPr="001A6CB8">
              <w:rPr>
                <w:sz w:val="20"/>
                <w:szCs w:val="20"/>
                <w:lang w:val="fr-FR"/>
              </w:rPr>
              <w:t>Mise en place d’une publication systématique des offres d'emploi en anglais sur EURAXESS pour tous les profils (R1-R4)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149" w14:textId="6631A303" w:rsidR="008D4D3E" w:rsidRPr="00D55A5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3E1" w14:textId="59D90C4E" w:rsidR="008D4D3E" w:rsidRPr="00D55A5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2026,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2028,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2029, </w:t>
            </w: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54C" w14:textId="1153706B" w:rsidR="00797616" w:rsidRPr="000E399B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3C1095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43C07729" w14:textId="3A32820D" w:rsidR="00797616" w:rsidRPr="000E399B" w:rsidRDefault="00D00847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DGDRH</w:t>
            </w:r>
          </w:p>
          <w:p w14:paraId="29C597B8" w14:textId="793DABB8" w:rsidR="008D4D3E" w:rsidRPr="000E399B" w:rsidRDefault="00AB48E0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Composantes de recherche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48A" w14:textId="79B0E38A" w:rsidR="008D4D3E" w:rsidRPr="003C7134" w:rsidRDefault="007D4C2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Taux de publication d'offres d'emplois publiées sur EURAXESS</w:t>
            </w:r>
          </w:p>
        </w:tc>
      </w:tr>
      <w:tr w:rsidR="00AB48E0" w:rsidRPr="008D4D3E" w14:paraId="1764B0F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8DF" w14:textId="39E8AF8F" w:rsidR="008D4D3E" w:rsidRPr="00116880" w:rsidRDefault="008D4D3E" w:rsidP="0011688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116880">
              <w:rPr>
                <w:sz w:val="20"/>
                <w:szCs w:val="20"/>
                <w:lang w:val="fr-FR"/>
              </w:rPr>
              <w:t xml:space="preserve">6.3 </w:t>
            </w:r>
            <w:r w:rsidR="00116880" w:rsidRPr="00116880">
              <w:rPr>
                <w:sz w:val="20"/>
                <w:szCs w:val="20"/>
                <w:lang w:val="fr-FR"/>
              </w:rPr>
              <w:t>R1-R4: Les fiches de postes possèdent un en-tête contenant un lien qui renvoie sur la page web HRS4R. Cette page contient la boite à outil OTM-R dont le Guide OTM-R, les conditions de travail, le règlement intérieur et les grilles statutaires (y compris contractuelles).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181" w14:textId="6999DC3D" w:rsidR="008D4D3E" w:rsidRPr="00D55A5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812" w14:textId="58049862" w:rsidR="008D4D3E" w:rsidRPr="00D55A5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T1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BF2" w14:textId="34A21DF3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1D9" w14:textId="1CCECCEE" w:rsidR="008D4D3E" w:rsidRPr="003C7134" w:rsidRDefault="007D4C2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Réalisé</w:t>
            </w:r>
            <w:proofErr w:type="spellEnd"/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oui</w:t>
            </w:r>
            <w:proofErr w:type="spellEnd"/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/non</w:t>
            </w:r>
          </w:p>
        </w:tc>
      </w:tr>
      <w:tr w:rsidR="00AB48E0" w:rsidRPr="000E399B" w14:paraId="2340D71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CDFA" w14:textId="23CE81B2" w:rsidR="008D4D3E" w:rsidRPr="005466C2" w:rsidRDefault="008D4D3E" w:rsidP="00D4248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5466C2">
              <w:rPr>
                <w:sz w:val="20"/>
                <w:szCs w:val="20"/>
                <w:lang w:val="fr-FR"/>
              </w:rPr>
              <w:t xml:space="preserve">6.4 </w:t>
            </w:r>
            <w:r w:rsidR="005466C2" w:rsidRPr="005466C2">
              <w:rPr>
                <w:sz w:val="20"/>
                <w:szCs w:val="20"/>
                <w:lang w:val="fr-FR"/>
              </w:rPr>
              <w:t xml:space="preserve">Mise en place d’un référentiel d’évaluation de l’atteinte des objectifs de la politique OTM-R pour la campagne de recrutement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129" w14:textId="60923323" w:rsidR="008D4D3E" w:rsidRPr="00D55A5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45B" w14:textId="20F2E50D" w:rsidR="008D4D3E" w:rsidRPr="00D55A5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51" w14:textId="471EA248" w:rsidR="008D4D3E" w:rsidRPr="007821A2" w:rsidRDefault="00797616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DGS DAPAC –</w:t>
            </w:r>
            <w:proofErr w:type="spellStart"/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Dé</w:t>
            </w: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partment</w:t>
            </w:r>
            <w:proofErr w:type="spellEnd"/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qualité et métrologie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BB4" w14:textId="77777777" w:rsidR="00AB4520" w:rsidRPr="003C7134" w:rsidRDefault="00AB4520" w:rsidP="00AB45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Production du référentiel</w:t>
            </w:r>
          </w:p>
          <w:p w14:paraId="62E5C198" w14:textId="6471E72C" w:rsidR="008D4D3E" w:rsidRPr="003C7134" w:rsidRDefault="00AB4520" w:rsidP="00AB452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Evaluation annuelle</w:t>
            </w:r>
          </w:p>
        </w:tc>
      </w:tr>
      <w:tr w:rsidR="00AB48E0" w:rsidRPr="000E399B" w14:paraId="7E6F7B4C" w14:textId="77777777" w:rsidTr="009316DF">
        <w:trPr>
          <w:trHeight w:val="341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606" w14:textId="77777777" w:rsidR="009316DF" w:rsidRPr="009316DF" w:rsidRDefault="008D4D3E" w:rsidP="009316DF">
            <w:pPr>
              <w:jc w:val="both"/>
              <w:rPr>
                <w:sz w:val="20"/>
                <w:szCs w:val="20"/>
                <w:lang w:val="fr-FR"/>
              </w:rPr>
            </w:pPr>
            <w:r w:rsidRPr="009316DF">
              <w:rPr>
                <w:sz w:val="20"/>
                <w:szCs w:val="20"/>
                <w:lang w:val="fr-FR"/>
              </w:rPr>
              <w:t xml:space="preserve">7.1 </w:t>
            </w:r>
            <w:r w:rsidR="009316DF" w:rsidRPr="009316DF">
              <w:rPr>
                <w:sz w:val="20"/>
                <w:szCs w:val="20"/>
                <w:lang w:val="fr-FR"/>
              </w:rPr>
              <w:t xml:space="preserve">Des actions doivent être menées dans le cadre du Plan d'égalité 2024-2026 : Recrutement (pages 19-22). Il est traduit en français et en anglais et est disponible sur le site de la Mission égalité </w:t>
            </w:r>
            <w:hyperlink r:id="rId9" w:tooltip="https://mission-egalite.univ-gustave-eiffel.fr/fileadmin/contributeurs/Mission-egalite/Plan/Plan_EFH_2024-2026_EN_vd.pdf" w:history="1">
              <w:r w:rsidR="009316DF" w:rsidRPr="009316DF">
                <w:rPr>
                  <w:lang w:val="fr-FR"/>
                </w:rPr>
                <w:t>ici.</w:t>
              </w:r>
            </w:hyperlink>
          </w:p>
          <w:p w14:paraId="33AAC239" w14:textId="77777777" w:rsidR="009316DF" w:rsidRPr="009316DF" w:rsidRDefault="009316DF" w:rsidP="009316DF">
            <w:pPr>
              <w:jc w:val="both"/>
              <w:rPr>
                <w:sz w:val="20"/>
                <w:szCs w:val="20"/>
                <w:lang w:val="fr-FR"/>
              </w:rPr>
            </w:pPr>
            <w:r w:rsidRPr="009316DF">
              <w:rPr>
                <w:sz w:val="20"/>
                <w:szCs w:val="20"/>
                <w:lang w:val="fr-FR"/>
              </w:rPr>
              <w:t>Mesure 2.1 (p.20): « Veiller au respect de la désignation, dans une proportion minimale de 40 % de chaque genre ».</w:t>
            </w:r>
          </w:p>
          <w:p w14:paraId="09882BEE" w14:textId="487E3E79" w:rsidR="008D4D3E" w:rsidRPr="009316DF" w:rsidRDefault="009316DF" w:rsidP="009316DF">
            <w:pPr>
              <w:jc w:val="both"/>
              <w:rPr>
                <w:sz w:val="20"/>
                <w:szCs w:val="20"/>
                <w:lang w:val="fr-FR"/>
              </w:rPr>
            </w:pPr>
            <w:r w:rsidRPr="009316DF">
              <w:rPr>
                <w:sz w:val="20"/>
                <w:szCs w:val="20"/>
                <w:lang w:val="fr-FR"/>
              </w:rPr>
              <w:t xml:space="preserve">R1 : mixité jurys des écoles doctorales de recrutement </w:t>
            </w:r>
            <w:proofErr w:type="spellStart"/>
            <w:r w:rsidRPr="009316DF">
              <w:rPr>
                <w:sz w:val="20"/>
                <w:szCs w:val="20"/>
                <w:lang w:val="fr-FR"/>
              </w:rPr>
              <w:t>doctorant·es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122" w14:textId="77777777" w:rsidR="008D4D3E" w:rsidRPr="00D55A5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D9E" w14:textId="2C862686" w:rsidR="008D4D3E" w:rsidRPr="00D55A5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T4</w:t>
            </w:r>
            <w:r w:rsidR="008130A8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173" w14:textId="7EC5149A" w:rsidR="00D00847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  <w:p w14:paraId="4BE07F30" w14:textId="4104E81D" w:rsidR="008D4D3E" w:rsidRPr="007821A2" w:rsidRDefault="001E58E8" w:rsidP="001E58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Mission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Egalité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FF5" w14:textId="77777777" w:rsidR="00AB4520" w:rsidRPr="003C7134" w:rsidRDefault="00AB4520" w:rsidP="00AB4520">
            <w:pPr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Plan d’égalité M2.1 : synthèse des commissions défaillantes </w:t>
            </w:r>
          </w:p>
          <w:p w14:paraId="7E7C37A4" w14:textId="687F9104" w:rsidR="008D4D3E" w:rsidRPr="003C7134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</w:tc>
      </w:tr>
      <w:tr w:rsidR="00AB48E0" w:rsidRPr="000E399B" w14:paraId="04966BE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34F" w14:textId="77777777" w:rsidR="00B165A8" w:rsidRPr="00B165A8" w:rsidRDefault="008D4D3E" w:rsidP="00B165A8">
            <w:pPr>
              <w:jc w:val="both"/>
              <w:rPr>
                <w:rFonts w:ascii="Palatino Linotype" w:hAnsi="Palatino Linotype" w:cs="Arial"/>
                <w:sz w:val="20"/>
                <w:szCs w:val="20"/>
                <w:lang w:val="fr-FR"/>
              </w:rPr>
            </w:pPr>
            <w:r w:rsidRPr="00B165A8">
              <w:rPr>
                <w:rFonts w:asciiTheme="minorHAnsi" w:eastAsia="Times New Roman" w:hAnsiTheme="minorHAnsi" w:cstheme="minorHAnsi"/>
                <w:iCs/>
                <w:lang w:val="fr-FR"/>
              </w:rPr>
              <w:t>7</w:t>
            </w:r>
            <w:r w:rsidRPr="00B165A8">
              <w:rPr>
                <w:sz w:val="20"/>
                <w:szCs w:val="20"/>
                <w:lang w:val="fr-FR"/>
              </w:rPr>
              <w:t xml:space="preserve">.2 </w:t>
            </w:r>
            <w:r w:rsidR="00B165A8" w:rsidRPr="00B165A8">
              <w:rPr>
                <w:sz w:val="20"/>
                <w:szCs w:val="20"/>
                <w:lang w:val="fr-FR"/>
              </w:rPr>
              <w:t xml:space="preserve">R3, R4 : interagir avec le Ministère de l’aménagement du territoire et Transition écologique concernant les jurys COMEVAL concernant les membres nommés pour se rapprocher des critères légaux </w:t>
            </w:r>
            <w:r w:rsidR="00B165A8" w:rsidRPr="00B165A8">
              <w:rPr>
                <w:sz w:val="20"/>
                <w:szCs w:val="20"/>
                <w:lang w:val="fr-FR"/>
              </w:rPr>
              <w:lastRenderedPageBreak/>
              <w:t>sur leur composition</w:t>
            </w:r>
            <w:r w:rsidR="00B165A8" w:rsidRPr="00B165A8">
              <w:rPr>
                <w:rFonts w:ascii="Palatino Linotype" w:hAnsi="Palatino Linotype" w:cs="Arial"/>
                <w:color w:val="4472C4" w:themeColor="accent1"/>
                <w:sz w:val="20"/>
                <w:szCs w:val="20"/>
                <w:lang w:val="fr-FR"/>
              </w:rPr>
              <w:t xml:space="preserve"> </w:t>
            </w:r>
            <w:r w:rsidR="00B165A8" w:rsidRPr="00B165A8">
              <w:rPr>
                <w:sz w:val="20"/>
                <w:szCs w:val="20"/>
                <w:lang w:val="fr-FR"/>
              </w:rPr>
              <w:t xml:space="preserve">homme/femme, </w:t>
            </w:r>
            <w:proofErr w:type="spellStart"/>
            <w:r w:rsidR="00B165A8" w:rsidRPr="00B165A8">
              <w:rPr>
                <w:sz w:val="20"/>
                <w:szCs w:val="20"/>
                <w:lang w:val="fr-FR"/>
              </w:rPr>
              <w:t>cf</w:t>
            </w:r>
            <w:proofErr w:type="spellEnd"/>
            <w:r w:rsidR="00B165A8" w:rsidRPr="00B165A8">
              <w:rPr>
                <w:sz w:val="20"/>
                <w:szCs w:val="20"/>
                <w:lang w:val="fr-FR"/>
              </w:rPr>
              <w:t xml:space="preserve"> règlement intérieur de la COMEVAL</w:t>
            </w:r>
          </w:p>
          <w:p w14:paraId="15DA0208" w14:textId="717012D9" w:rsidR="00974940" w:rsidRPr="00B165A8" w:rsidRDefault="00974940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447" w14:textId="795B0177" w:rsidR="008D4D3E" w:rsidRPr="00D55A5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A8D" w14:textId="417BA9CB" w:rsidR="008D4D3E" w:rsidRPr="00D55A5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T2</w:t>
            </w:r>
            <w:r w:rsidR="004D6D1B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r w:rsidR="008D4D3E" w:rsidRPr="00D55A5E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1F" w14:textId="601D99F5" w:rsidR="00797616" w:rsidRPr="007821A2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Pr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é</w:t>
            </w: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sidenc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</w:t>
            </w:r>
            <w:proofErr w:type="spellEnd"/>
          </w:p>
          <w:p w14:paraId="07BFE33E" w14:textId="77777777" w:rsidR="00797616" w:rsidRPr="007821A2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  <w:p w14:paraId="677D7D2A" w14:textId="77777777" w:rsidR="00797616" w:rsidRPr="007821A2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COMEVAL</w:t>
            </w:r>
          </w:p>
          <w:p w14:paraId="6F125622" w14:textId="0FF8A3CD" w:rsidR="008D4D3E" w:rsidRPr="007821A2" w:rsidRDefault="00797616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VP </w:t>
            </w: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Re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cherche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80F" w14:textId="2571C5E3" w:rsidR="008D4D3E" w:rsidRPr="003C7134" w:rsidRDefault="001D1C2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Évaluation de l’écart de la composition homme/femme par rapport aux critères requis</w:t>
            </w:r>
          </w:p>
        </w:tc>
      </w:tr>
      <w:tr w:rsidR="00AB48E0" w:rsidRPr="008D4D3E" w14:paraId="102C2D5B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EDE" w14:textId="27C38B94" w:rsidR="00996B9A" w:rsidRPr="002409BB" w:rsidRDefault="008D4D3E" w:rsidP="002409BB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540D18">
              <w:rPr>
                <w:sz w:val="20"/>
                <w:szCs w:val="20"/>
                <w:lang w:val="fr-FR"/>
              </w:rPr>
              <w:t xml:space="preserve">7.3 </w:t>
            </w:r>
            <w:r w:rsidR="002409BB" w:rsidRPr="00540D18">
              <w:rPr>
                <w:sz w:val="20"/>
                <w:szCs w:val="20"/>
                <w:lang w:val="fr-FR"/>
              </w:rPr>
              <w:t>Interagir avec le Ministère de l’aménagement du territoire et transition écologique afin de mettre en place un dialogue entre la COMEVAL et l'université sur la question les critères de recrutement.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9D8" w14:textId="3F9E43F7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372" w14:textId="31B9DC64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0E6" w14:textId="7A3D7743" w:rsidR="00797616" w:rsidRPr="000E399B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AB48E0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45590A8E" w14:textId="3725A26F" w:rsidR="008D4D3E" w:rsidRPr="000E399B" w:rsidRDefault="00797616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</w:t>
            </w:r>
            <w:r w:rsidR="001E58E8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APP</w:t>
            </w:r>
          </w:p>
          <w:p w14:paraId="47BEFF8B" w14:textId="39D556FD" w:rsidR="00D00847" w:rsidRPr="000E399B" w:rsidRDefault="00D00847" w:rsidP="007976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</w:t>
            </w:r>
            <w:r w:rsidR="001E58E8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 </w:t>
            </w: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5D41" w14:textId="6C138BDD" w:rsidR="008D4D3E" w:rsidRPr="003C7134" w:rsidRDefault="00CA433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Récapitulatif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 xml:space="preserve"> des actions</w:t>
            </w:r>
          </w:p>
        </w:tc>
      </w:tr>
      <w:tr w:rsidR="00AB48E0" w:rsidRPr="000E399B" w14:paraId="7585AA1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C04" w14:textId="3B9E9CA4" w:rsidR="008D4D3E" w:rsidRPr="00540D18" w:rsidRDefault="008D4D3E" w:rsidP="00540D18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540D18">
              <w:rPr>
                <w:sz w:val="20"/>
                <w:szCs w:val="20"/>
                <w:lang w:val="fr-FR"/>
              </w:rPr>
              <w:t xml:space="preserve">7.4 </w:t>
            </w:r>
            <w:r w:rsidR="00540D18" w:rsidRPr="00540D18">
              <w:rPr>
                <w:sz w:val="20"/>
                <w:szCs w:val="20"/>
                <w:lang w:val="fr-FR"/>
              </w:rPr>
              <w:t xml:space="preserve">Guide en ligne en anglais et en français sur le processus de sélection </w:t>
            </w:r>
            <w:proofErr w:type="spellStart"/>
            <w:r w:rsidR="00540D18" w:rsidRPr="00540D18">
              <w:rPr>
                <w:sz w:val="20"/>
                <w:szCs w:val="20"/>
                <w:lang w:val="fr-FR"/>
              </w:rPr>
              <w:t>du·de</w:t>
            </w:r>
            <w:proofErr w:type="spellEnd"/>
            <w:r w:rsidR="00540D18" w:rsidRPr="00540D18">
              <w:rPr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540D18" w:rsidRPr="00540D18">
              <w:rPr>
                <w:sz w:val="20"/>
                <w:szCs w:val="20"/>
                <w:lang w:val="fr-FR"/>
              </w:rPr>
              <w:t>directeur·trice</w:t>
            </w:r>
            <w:proofErr w:type="spellEnd"/>
            <w:r w:rsidR="00540D18" w:rsidRPr="00540D18">
              <w:rPr>
                <w:sz w:val="20"/>
                <w:szCs w:val="20"/>
                <w:lang w:val="fr-FR"/>
              </w:rPr>
              <w:t xml:space="preserve"> de thèse pour les </w:t>
            </w:r>
            <w:proofErr w:type="spellStart"/>
            <w:r w:rsidR="00540D18" w:rsidRPr="00540D18">
              <w:rPr>
                <w:sz w:val="20"/>
                <w:szCs w:val="20"/>
                <w:lang w:val="fr-FR"/>
              </w:rPr>
              <w:t>doctorant·es</w:t>
            </w:r>
            <w:proofErr w:type="spellEnd"/>
            <w:r w:rsidR="00540D18" w:rsidRPr="00540D18">
              <w:rPr>
                <w:sz w:val="20"/>
                <w:szCs w:val="20"/>
                <w:lang w:val="fr-FR"/>
              </w:rPr>
              <w:t xml:space="preserve"> (basé sur le modèle du projet MSCA CLEAR-Doc-101034248)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285" w14:textId="2BD8AA6D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393" w14:textId="7DA0DF57" w:rsidR="008D4D3E" w:rsidRPr="008D4D3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7BF" w14:textId="35A05A5C" w:rsidR="008D4D3E" w:rsidRPr="007821A2" w:rsidRDefault="00797616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248" w14:textId="586E45B4" w:rsidR="008D4D3E" w:rsidRPr="003C7134" w:rsidRDefault="00730819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Production du guide sur intranet</w:t>
            </w:r>
          </w:p>
        </w:tc>
      </w:tr>
      <w:tr w:rsidR="00AB48E0" w:rsidRPr="000E399B" w14:paraId="518BA388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BD6" w14:textId="4A79FFB6" w:rsidR="00AC5D06" w:rsidRPr="00AC5D06" w:rsidRDefault="008D4D3E" w:rsidP="00AC5D06">
            <w:pPr>
              <w:jc w:val="both"/>
              <w:rPr>
                <w:sz w:val="20"/>
                <w:szCs w:val="20"/>
                <w:lang w:val="fr-FR"/>
              </w:rPr>
            </w:pPr>
            <w:r w:rsidRPr="00AC5D06">
              <w:rPr>
                <w:sz w:val="20"/>
                <w:szCs w:val="20"/>
                <w:lang w:val="fr-FR"/>
              </w:rPr>
              <w:t>8.1</w:t>
            </w:r>
            <w:r w:rsidR="00AC5D06" w:rsidRPr="00AC5D06">
              <w:rPr>
                <w:sz w:val="20"/>
                <w:szCs w:val="20"/>
                <w:lang w:val="fr-FR"/>
              </w:rPr>
              <w:t xml:space="preserve"> Publier les procédures et pratiques de l'OTM-R en ligne sur le </w:t>
            </w:r>
            <w:hyperlink r:id="rId10" w:tooltip="https://recrutement.univ-gustave-eiffel.fr/qui-sommes-nous" w:history="1">
              <w:r w:rsidR="00AC5D06" w:rsidRPr="00B25D8B">
                <w:rPr>
                  <w:sz w:val="20"/>
                  <w:szCs w:val="20"/>
                  <w:lang w:val="fr-FR"/>
                </w:rPr>
                <w:t>site de recrutement d'Uni Eiffel</w:t>
              </w:r>
            </w:hyperlink>
          </w:p>
          <w:p w14:paraId="23DB9F42" w14:textId="6A04F90B" w:rsidR="008D4D3E" w:rsidRPr="00AC5D06" w:rsidRDefault="008D4D3E" w:rsidP="008D4D3E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B89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854" w14:textId="767AED5A" w:rsidR="008D4D3E" w:rsidRPr="008D4D3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507" w14:textId="725922B7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E19" w14:textId="483F2947" w:rsidR="008D4D3E" w:rsidRPr="003C7134" w:rsidRDefault="00F731AD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iCs/>
                <w:sz w:val="20"/>
                <w:szCs w:val="20"/>
                <w:lang w:val="fr-FR"/>
              </w:rPr>
              <w:t>Publier nos procédures sur le site internet de l'université</w:t>
            </w:r>
          </w:p>
        </w:tc>
      </w:tr>
      <w:tr w:rsidR="00AB48E0" w:rsidRPr="008D4D3E" w14:paraId="002D160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DD0" w14:textId="77777777" w:rsidR="003300D2" w:rsidRPr="003300D2" w:rsidRDefault="001E58E8" w:rsidP="003300D2">
            <w:pPr>
              <w:jc w:val="both"/>
              <w:rPr>
                <w:sz w:val="20"/>
                <w:szCs w:val="20"/>
                <w:lang w:val="fr-FR"/>
              </w:rPr>
            </w:pPr>
            <w:r w:rsidRPr="003300D2">
              <w:rPr>
                <w:sz w:val="20"/>
                <w:szCs w:val="20"/>
                <w:lang w:val="fr-FR"/>
              </w:rPr>
              <w:t>8.2 R</w:t>
            </w:r>
            <w:r w:rsidR="008D4D3E" w:rsidRPr="003300D2">
              <w:rPr>
                <w:sz w:val="20"/>
                <w:szCs w:val="20"/>
                <w:lang w:val="fr-FR"/>
              </w:rPr>
              <w:t xml:space="preserve">1: </w:t>
            </w:r>
            <w:r w:rsidR="003300D2" w:rsidRPr="003300D2">
              <w:rPr>
                <w:sz w:val="20"/>
                <w:szCs w:val="20"/>
                <w:lang w:val="fr-FR"/>
              </w:rPr>
              <w:t>R1 : Renvoyer vers le site des écoles doctorales sur le site recrutement de l'Université</w:t>
            </w:r>
          </w:p>
          <w:p w14:paraId="750D7910" w14:textId="575E1496" w:rsidR="008D4D3E" w:rsidRPr="003300D2" w:rsidRDefault="003300D2" w:rsidP="003300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3300D2">
              <w:rPr>
                <w:sz w:val="20"/>
                <w:szCs w:val="20"/>
                <w:lang w:val="fr-FR"/>
              </w:rPr>
              <w:t xml:space="preserve">R2 : Publier les offres de recrutement de </w:t>
            </w:r>
            <w:proofErr w:type="spellStart"/>
            <w:r w:rsidRPr="003300D2">
              <w:rPr>
                <w:sz w:val="20"/>
                <w:szCs w:val="20"/>
                <w:lang w:val="fr-FR"/>
              </w:rPr>
              <w:t>contractuel·les</w:t>
            </w:r>
            <w:proofErr w:type="spellEnd"/>
            <w:r w:rsidRPr="003300D2">
              <w:rPr>
                <w:sz w:val="20"/>
                <w:szCs w:val="20"/>
                <w:lang w:val="fr-FR"/>
              </w:rPr>
              <w:t xml:space="preserve"> sur le </w:t>
            </w:r>
            <w:hyperlink r:id="rId11" w:history="1">
              <w:r w:rsidRPr="003300D2">
                <w:rPr>
                  <w:lang w:val="fr-FR"/>
                </w:rPr>
                <w:t>site de recrutement</w:t>
              </w:r>
            </w:hyperlink>
            <w:r w:rsidRPr="003300D2">
              <w:rPr>
                <w:sz w:val="20"/>
                <w:szCs w:val="20"/>
                <w:lang w:val="fr-FR"/>
              </w:rPr>
              <w:t xml:space="preserve"> de l'Université avec BEETWEN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0CB" w14:textId="210190B9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15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777" w14:textId="18BB609A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025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127" w14:textId="68E64815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59A" w14:textId="4112DB09" w:rsidR="008D4D3E" w:rsidRPr="003C7134" w:rsidRDefault="00AA3306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>Implémentation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</w:rPr>
              <w:t xml:space="preserve"> site web</w:t>
            </w:r>
          </w:p>
        </w:tc>
      </w:tr>
      <w:tr w:rsidR="00797616" w:rsidRPr="000E399B" w14:paraId="3CB81610" w14:textId="77777777" w:rsidTr="000A33D4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9F0" w14:textId="28D9DC7C" w:rsidR="00797616" w:rsidRPr="003C7134" w:rsidRDefault="00481A38" w:rsidP="007976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fr-FR"/>
              </w:rPr>
              <w:t>Conditions de travail et sécurité sociale</w:t>
            </w:r>
          </w:p>
        </w:tc>
      </w:tr>
      <w:tr w:rsidR="00AB48E0" w:rsidRPr="000E399B" w14:paraId="3C6BAECF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5D2" w14:textId="5925F78F" w:rsidR="008D4D3E" w:rsidRPr="00BA6B14" w:rsidRDefault="001E58E8" w:rsidP="00BA6B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BA6B1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9.1 </w:t>
            </w:r>
            <w:r w:rsidR="00BA6B14" w:rsidRPr="00BA6B1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Tous (R1 - R4) </w:t>
            </w:r>
            <w:r w:rsidR="00BA6B14" w:rsidRPr="00BA6B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: Plusieurs actions de l'"Axe 3 - Equilibre vie personnelle et professionnelle / vie de campus" doivent être menées dans le cadre du nouveau Plan Egalité 2024-2026 voté lors du Conseil d'administration du 12</w:t>
            </w:r>
            <w:r w:rsidR="00BA6B14" w:rsidRPr="00BA6B14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 xml:space="preserve">e </w:t>
            </w:r>
            <w:r w:rsidR="00BA6B14" w:rsidRPr="00BA6B1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décembre 2024. Il est traduit en français et en anglais et est disponible sur le site de la Mission égalité</w:t>
            </w:r>
            <w:r w:rsidR="00BA6B14" w:rsidRPr="00BA6B14">
              <w:rPr>
                <w:rFonts w:ascii="Palatino Linotype" w:hAnsi="Palatino Linotype" w:cs="Arial"/>
                <w:sz w:val="20"/>
                <w:szCs w:val="20"/>
                <w:lang w:val="fr-FR"/>
              </w:rPr>
              <w:t xml:space="preserve"> </w:t>
            </w:r>
            <w:hyperlink r:id="rId12" w:tooltip="https://mission-egalite.univ-gustave-eiffel.fr/agir-ensemble-pour-legalite/nos-engagements-et-nos-actions" w:history="1">
              <w:r w:rsidR="00BA6B14" w:rsidRPr="00BA6B14">
                <w:rPr>
                  <w:rStyle w:val="Lienhypertexte"/>
                  <w:rFonts w:ascii="Palatino Linotype" w:hAnsi="Palatino Linotype" w:cs="Arial"/>
                  <w:sz w:val="20"/>
                  <w:szCs w:val="20"/>
                  <w:lang w:val="fr-FR"/>
                </w:rPr>
                <w:t>ici</w:t>
              </w:r>
            </w:hyperlink>
            <w:r w:rsidR="00BA6B14" w:rsidRPr="00BA6B14">
              <w:rPr>
                <w:rFonts w:ascii="Palatino Linotype" w:hAnsi="Palatino Linotype" w:cs="Arial"/>
                <w:sz w:val="20"/>
                <w:szCs w:val="20"/>
                <w:lang w:val="fr-FR"/>
              </w:rPr>
              <w:t>.</w:t>
            </w:r>
            <w:r w:rsidR="008D4D3E" w:rsidRPr="00BA6B14">
              <w:rPr>
                <w:rFonts w:asciiTheme="minorHAnsi" w:hAnsiTheme="minorHAnsi" w:cstheme="minorHAnsi"/>
                <w:iCs/>
                <w:lang w:val="fr-FR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87C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430" w14:textId="3026AA83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8CA" w14:textId="4FED04BA" w:rsidR="008D4D3E" w:rsidRPr="007821A2" w:rsidRDefault="001E58E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Mission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Egalité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4C5" w14:textId="77777777" w:rsidR="0045097D" w:rsidRPr="003C7134" w:rsidRDefault="0045097D" w:rsidP="0045097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En fonction de la mesure du </w:t>
            </w:r>
            <w:hyperlink r:id="rId13" w:tooltip="https://mission-egalite.univ-gustave-eiffel.fr/agir-ensemble-pour-legalite/nos-engagements-et-nos-actions" w:history="1">
              <w:r w:rsidRPr="003C7134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fr-FR"/>
                </w:rPr>
                <w:t>plan égalité</w:t>
              </w:r>
            </w:hyperlink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dont Finalisation du Schéma Directeur Handicap (action 6.1.1 Road </w:t>
            </w: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map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DD&amp;RS)</w:t>
            </w:r>
          </w:p>
          <w:p w14:paraId="3D6DE80A" w14:textId="6AB25763" w:rsidR="008D4D3E" w:rsidRPr="003C7134" w:rsidRDefault="008D4D3E" w:rsidP="001E58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</w:tc>
      </w:tr>
      <w:tr w:rsidR="00AB48E0" w:rsidRPr="000E399B" w14:paraId="69D2B88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3BA" w14:textId="1FCE9C0F" w:rsidR="00297439" w:rsidRPr="00297439" w:rsidRDefault="008D4D3E" w:rsidP="00297439">
            <w:pPr>
              <w:contextualSpacing/>
              <w:rPr>
                <w:rFonts w:ascii="Palatino Linotype" w:eastAsia="Times New Roman" w:hAnsi="Palatino Linotype" w:cs="Arial"/>
                <w:sz w:val="24"/>
                <w:szCs w:val="24"/>
                <w:highlight w:val="white"/>
                <w:lang w:val="fr-FR"/>
              </w:rPr>
            </w:pPr>
            <w:r w:rsidRPr="0029743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9.2</w:t>
            </w:r>
            <w:r w:rsidRPr="00297439">
              <w:rPr>
                <w:rFonts w:asciiTheme="minorHAnsi" w:eastAsia="Times New Roman" w:hAnsiTheme="minorHAnsi" w:cstheme="minorHAnsi"/>
                <w:iCs/>
                <w:lang w:val="fr-FR"/>
              </w:rPr>
              <w:t xml:space="preserve"> </w:t>
            </w:r>
            <w:hyperlink r:id="rId14" w:tooltip="https://mission-ddrs.univ-gustave-eiffel.fr/fileadmin/contributeurs/DDRS/Politique_DD_RS/Schema_Directeur_DD_RS.pdf" w:history="1">
              <w:r w:rsidR="00297439" w:rsidRPr="00297439">
                <w:rPr>
                  <w:rFonts w:ascii="Palatino Linotype" w:hAnsi="Palatino Linotype" w:cs="Arial"/>
                  <w:color w:val="0563C1"/>
                  <w:sz w:val="20"/>
                  <w:szCs w:val="20"/>
                  <w:u w:val="single"/>
                  <w:lang w:val="fr-FR"/>
                </w:rPr>
                <w:t xml:space="preserve">La feuille de route DD&amp;RS Road </w:t>
              </w:r>
              <w:proofErr w:type="spellStart"/>
              <w:r w:rsidR="00297439" w:rsidRPr="00297439">
                <w:rPr>
                  <w:rFonts w:ascii="Palatino Linotype" w:hAnsi="Palatino Linotype" w:cs="Arial"/>
                  <w:color w:val="0563C1"/>
                  <w:sz w:val="20"/>
                  <w:szCs w:val="20"/>
                  <w:u w:val="single"/>
                  <w:lang w:val="fr-FR"/>
                </w:rPr>
                <w:t>Map</w:t>
              </w:r>
              <w:proofErr w:type="spellEnd"/>
              <w:r w:rsidR="00297439" w:rsidRPr="00297439">
                <w:rPr>
                  <w:rFonts w:ascii="Palatino Linotype" w:hAnsi="Palatino Linotype" w:cs="Arial"/>
                  <w:color w:val="0563C1"/>
                  <w:sz w:val="20"/>
                  <w:szCs w:val="20"/>
                  <w:u w:val="single"/>
                  <w:lang w:val="fr-FR"/>
                </w:rPr>
                <w:t xml:space="preserve"> for Label DD&amp;RS</w:t>
              </w:r>
            </w:hyperlink>
            <w:r w:rsidR="00297439" w:rsidRPr="00297439">
              <w:rPr>
                <w:rFonts w:ascii="Palatino Linotype" w:hAnsi="Palatino Linotype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="00297439" w:rsidRPr="00297439">
              <w:rPr>
                <w:rFonts w:ascii="Palatino Linotype" w:hAnsi="Palatino Linotype" w:cs="Arial"/>
                <w:sz w:val="20"/>
                <w:szCs w:val="20"/>
                <w:lang w:val="fr-FR"/>
              </w:rPr>
              <w:t xml:space="preserve">s'engage à </w:t>
            </w:r>
            <w:r w:rsidR="00297439" w:rsidRPr="00297439">
              <w:rPr>
                <w:rFonts w:ascii="Palatino Linotype" w:hAnsi="Palatino Linotype" w:cs="Arial"/>
                <w:i/>
                <w:sz w:val="20"/>
                <w:szCs w:val="20"/>
                <w:lang w:val="fr-FR"/>
              </w:rPr>
              <w:t xml:space="preserve">Formaliser une qualité de vie au travail </w:t>
            </w:r>
            <w:r w:rsidR="00297439" w:rsidRPr="00297439">
              <w:rPr>
                <w:rFonts w:ascii="Palatino Linotype" w:hAnsi="Palatino Linotype" w:cs="Arial"/>
                <w:iCs/>
                <w:sz w:val="20"/>
                <w:szCs w:val="20"/>
                <w:lang w:val="fr-FR"/>
              </w:rPr>
              <w:t>(voir</w:t>
            </w:r>
            <w:r w:rsidR="00297439" w:rsidRPr="00297439">
              <w:rPr>
                <w:rFonts w:ascii="Palatino Linotype" w:hAnsi="Palatino Linotype" w:cs="Arial"/>
                <w:i/>
                <w:sz w:val="20"/>
                <w:szCs w:val="20"/>
                <w:lang w:val="fr-FR"/>
              </w:rPr>
              <w:t xml:space="preserve"> </w:t>
            </w:r>
            <w:r w:rsidR="00297439" w:rsidRPr="00297439">
              <w:rPr>
                <w:rFonts w:ascii="Palatino Linotype" w:hAnsi="Palatino Linotype" w:cs="Arial"/>
                <w:sz w:val="20"/>
                <w:szCs w:val="20"/>
                <w:lang w:val="fr-FR"/>
              </w:rPr>
              <w:t xml:space="preserve">sous-section Axe 6 - Accompagner les parcours des personnels et améliorer </w:t>
            </w:r>
            <w:r w:rsidR="00297439" w:rsidRPr="00297439">
              <w:rPr>
                <w:rFonts w:ascii="Palatino Linotype" w:hAnsi="Palatino Linotype" w:cs="Arial"/>
                <w:sz w:val="20"/>
                <w:szCs w:val="20"/>
                <w:lang w:val="fr-FR"/>
              </w:rPr>
              <w:lastRenderedPageBreak/>
              <w:t>le bien-être des personnels et des étudiants, 6.3.1 action).</w:t>
            </w:r>
          </w:p>
          <w:p w14:paraId="0A1E199D" w14:textId="2FE81B77" w:rsidR="008D4D3E" w:rsidRPr="00297439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4A6B" w14:textId="204AF0E5" w:rsidR="008D4D3E" w:rsidRPr="00797616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en-US"/>
              </w:rPr>
            </w:pPr>
            <w:r>
              <w:rPr>
                <w:rFonts w:asciiTheme="minorHAnsi" w:eastAsia="Times New Roman" w:hAnsiTheme="minorHAnsi" w:cstheme="minorHAnsi"/>
                <w:iCs/>
                <w:lang w:val="en-US"/>
              </w:rPr>
              <w:lastRenderedPageBreak/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F0F" w14:textId="7B2E4A39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12B" w14:textId="24FC1CC5" w:rsidR="008D4D3E" w:rsidRPr="007821A2" w:rsidRDefault="00AB48E0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 xml:space="preserve">Mission </w:t>
            </w:r>
            <w:r w:rsidR="00797616" w:rsidRPr="007821A2">
              <w:rPr>
                <w:rFonts w:asciiTheme="minorHAnsi" w:hAnsiTheme="minorHAnsi" w:cstheme="minorHAnsi"/>
                <w:sz w:val="20"/>
                <w:szCs w:val="20"/>
              </w:rPr>
              <w:t>DD&amp;RS</w:t>
            </w:r>
            <w:r w:rsidR="001E58E8" w:rsidRPr="007821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6E7" w14:textId="77777777" w:rsidR="00B213A7" w:rsidRPr="003C7134" w:rsidRDefault="00B213A7" w:rsidP="00B213A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Formalisation d’une politique de qualité de vie au travail </w:t>
            </w:r>
          </w:p>
          <w:p w14:paraId="27EDD35F" w14:textId="6BE2AE12" w:rsidR="008D4D3E" w:rsidRPr="003C7134" w:rsidRDefault="00B213A7" w:rsidP="00B213A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br/>
              <w:t>Création et diffusion d’une charte sur l’usage du numérique</w:t>
            </w:r>
          </w:p>
        </w:tc>
      </w:tr>
      <w:tr w:rsidR="00AB48E0" w:rsidRPr="008D4D3E" w14:paraId="0DD2A7B1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438" w14:textId="77777777" w:rsidR="0014244D" w:rsidRPr="0014244D" w:rsidRDefault="008D4D3E" w:rsidP="0014244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4244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lastRenderedPageBreak/>
              <w:t xml:space="preserve">9.3 </w:t>
            </w:r>
            <w:r w:rsidR="0014244D" w:rsidRPr="001424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R1-R4 : Réintroduction de la Charte des temps (équilibre vie privée/vie professionnelle) </w:t>
            </w:r>
          </w:p>
          <w:p w14:paraId="53FEFFA5" w14:textId="3362C51F" w:rsidR="008D4D3E" w:rsidRPr="0014244D" w:rsidRDefault="008D4D3E" w:rsidP="008D4D3E">
            <w:pPr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3188" w14:textId="54DCF47A" w:rsidR="008D4D3E" w:rsidRPr="008D4D3E" w:rsidRDefault="008130A8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3163" w14:textId="7B9F76B7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EFD" w14:textId="687F8F99" w:rsidR="00237D31" w:rsidRPr="007821A2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  <w:p w14:paraId="6F9A438E" w14:textId="556AF62F" w:rsidR="008D4D3E" w:rsidRPr="007821A2" w:rsidRDefault="00237D31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Pr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é</w:t>
            </w: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sidenc</w:t>
            </w:r>
            <w:r w:rsidR="00AB48E0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F51" w14:textId="6DC2193B" w:rsidR="008D4D3E" w:rsidRPr="003C7134" w:rsidRDefault="00197C5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Production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</w:rPr>
              <w:t>charte</w:t>
            </w:r>
            <w:proofErr w:type="spellEnd"/>
          </w:p>
        </w:tc>
      </w:tr>
      <w:tr w:rsidR="00AB48E0" w:rsidRPr="000E399B" w14:paraId="225CDC3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CB" w14:textId="5DEB46DD" w:rsidR="008D4D3E" w:rsidRPr="00053822" w:rsidRDefault="008D4D3E" w:rsidP="000538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53822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10.1 </w:t>
            </w:r>
            <w:r w:rsidR="00053822" w:rsidRPr="000538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Système point primes attribuables 1 fois par an à </w:t>
            </w:r>
            <w:proofErr w:type="spellStart"/>
            <w:r w:rsidR="00053822" w:rsidRPr="000538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tout·e</w:t>
            </w:r>
            <w:proofErr w:type="spellEnd"/>
            <w:r w:rsidR="00053822" w:rsidRPr="000538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53822" w:rsidRPr="000538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chercheur·euse</w:t>
            </w:r>
            <w:proofErr w:type="spellEnd"/>
            <w:r w:rsidR="00053822" w:rsidRPr="0005382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pour une action spécifique (R3/R4), y compris pour la participation à des projets européens et internationaux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A21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8C5" w14:textId="674223BF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2025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2026,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  <w:p w14:paraId="2FC55A6C" w14:textId="6F4BF83D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8B4" w14:textId="720F31C8" w:rsidR="00237D31" w:rsidRPr="007821A2" w:rsidRDefault="00D00847" w:rsidP="00237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>DGDRH</w:t>
            </w:r>
          </w:p>
          <w:p w14:paraId="32FBC684" w14:textId="77777777" w:rsidR="00D00847" w:rsidRPr="007821A2" w:rsidRDefault="00D00847" w:rsidP="00237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>VPRH</w:t>
            </w:r>
          </w:p>
          <w:p w14:paraId="612B3B01" w14:textId="4679353A" w:rsidR="00237D31" w:rsidRPr="007821A2" w:rsidRDefault="00237D31" w:rsidP="00237D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21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821A2">
              <w:rPr>
                <w:rFonts w:asciiTheme="minorHAnsi" w:hAnsiTheme="minorHAnsi" w:cstheme="minorHAnsi"/>
                <w:sz w:val="20"/>
                <w:szCs w:val="20"/>
              </w:rPr>
              <w:t>CaC</w:t>
            </w:r>
            <w:proofErr w:type="spellEnd"/>
          </w:p>
          <w:p w14:paraId="412AB12F" w14:textId="70213FA3" w:rsidR="008D4D3E" w:rsidRPr="007821A2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AA6" w14:textId="12E117A1" w:rsidR="008D4D3E" w:rsidRPr="003C7134" w:rsidRDefault="006008C4" w:rsidP="00EB1A1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Production de la liste des </w:t>
            </w: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chercheurs·euses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par le VPRH</w:t>
            </w:r>
          </w:p>
        </w:tc>
      </w:tr>
      <w:tr w:rsidR="00AB48E0" w:rsidRPr="000E399B" w14:paraId="3E76F60F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342" w14:textId="77777777" w:rsidR="00FE6F82" w:rsidRPr="00FE6F82" w:rsidRDefault="008D4D3E" w:rsidP="00FE6F8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E6F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10.2 </w:t>
            </w:r>
            <w:r w:rsidR="00FE6F82" w:rsidRPr="00FE6F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Mise en œuvre du décret du ministère de l'Aménagement du territoire et de la Transition écologique du 30 juillet 2025 portant création du régime </w:t>
            </w:r>
            <w:proofErr w:type="spellStart"/>
            <w:r w:rsidR="00FE6F82" w:rsidRPr="00FE6F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indémnitaire</w:t>
            </w:r>
            <w:proofErr w:type="spellEnd"/>
            <w:r w:rsidR="00FE6F82" w:rsidRPr="00FE6F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des chercheurs appartenant aux corps des chargés de recherche (R3) et directeurs de recherche (R4) du développement durable (RIPEC).  </w:t>
            </w:r>
          </w:p>
          <w:p w14:paraId="5F796034" w14:textId="11CCAC96" w:rsidR="008D4D3E" w:rsidRPr="00FE6F82" w:rsidRDefault="008D4D3E" w:rsidP="002A5C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180" w14:textId="305EBB9F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9F2" w14:textId="3B9306D0" w:rsidR="008D4D3E" w:rsidRPr="008D4D3E" w:rsidRDefault="00CD50F4" w:rsidP="008130A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2025,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8130A8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2026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 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44C" w14:textId="548FBE5A" w:rsidR="00D00847" w:rsidRPr="000E399B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VPRH</w:t>
            </w:r>
          </w:p>
          <w:p w14:paraId="29865CEA" w14:textId="05B3D0A8" w:rsidR="00D00847" w:rsidRPr="000E399B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DGDRH</w:t>
            </w:r>
          </w:p>
          <w:p w14:paraId="369D2B3F" w14:textId="45DF5193" w:rsidR="00237D31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AB48E0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1F2AA8B7" w14:textId="7FFB84A0" w:rsidR="008D4D3E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proofErr w:type="spellStart"/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CaC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91D" w14:textId="53E99724" w:rsidR="008D4D3E" w:rsidRPr="003C7134" w:rsidRDefault="006008C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Dialogue établit/ dialogue non établit et processus en place</w:t>
            </w:r>
          </w:p>
        </w:tc>
      </w:tr>
      <w:tr w:rsidR="00AB48E0" w:rsidRPr="000E399B" w14:paraId="557D0F19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10" w14:textId="77777777" w:rsidR="00BC045D" w:rsidRPr="00BC045D" w:rsidRDefault="008D4D3E" w:rsidP="00BC045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C045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11.1 </w:t>
            </w:r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R3-R4 : Mise en place d’un système de mentorat à destination des R1-R2 validé par le </w:t>
            </w:r>
            <w:proofErr w:type="spellStart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CaC</w:t>
            </w:r>
            <w:proofErr w:type="spellEnd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Le vivier de </w:t>
            </w:r>
            <w:proofErr w:type="spellStart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mentor·es</w:t>
            </w:r>
            <w:proofErr w:type="spellEnd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docteurs (R3-R4) ou non docteurs (R1-R2) se constituera sur la base d’un appel à volontariat. Le.la </w:t>
            </w:r>
            <w:proofErr w:type="spellStart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mentor·e</w:t>
            </w:r>
            <w:proofErr w:type="spellEnd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devra être externe à l’environnement de recherche du jeune chercheur ou de la jeune chercheuse. Le cas échéant, une formation sera proposée aux </w:t>
            </w:r>
            <w:proofErr w:type="spellStart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mentor·es</w:t>
            </w:r>
            <w:proofErr w:type="spellEnd"/>
            <w:r w:rsidR="00BC045D" w:rsidRPr="00BC045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amont</w:t>
            </w:r>
          </w:p>
          <w:p w14:paraId="74CA8632" w14:textId="53A75BA6" w:rsidR="008D4D3E" w:rsidRPr="00BC045D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9D2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28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84B" w14:textId="43408C49" w:rsidR="008D4D3E" w:rsidRPr="008D4D3E" w:rsidRDefault="00CD50F4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2027,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2028,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2029,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DB480F" w:rsidRPr="008D4D3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>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B07" w14:textId="29DC6AF8" w:rsidR="00237D31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</w:t>
            </w:r>
            <w:r w:rsidR="00D00847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RH</w:t>
            </w:r>
          </w:p>
          <w:p w14:paraId="25A69845" w14:textId="65C94169" w:rsidR="008D4D3E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VP </w:t>
            </w: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CaC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C70" w14:textId="739FD83D" w:rsidR="008D4D3E" w:rsidRPr="003C7134" w:rsidRDefault="006008C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Appel envoyé aux chercheurs et constitution d’une liste</w:t>
            </w:r>
            <w:r w:rsidRPr="003C713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 mentors</w:t>
            </w:r>
          </w:p>
        </w:tc>
      </w:tr>
      <w:tr w:rsidR="00AB48E0" w:rsidRPr="000E399B" w14:paraId="7491F7F0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03B" w14:textId="77777777" w:rsidR="003F33DE" w:rsidRPr="003F33DE" w:rsidRDefault="008D4D3E" w:rsidP="003F33DE">
            <w:pP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3F33DE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12.1 </w:t>
            </w:r>
            <w:r w:rsidR="003F33DE" w:rsidRPr="003F33DE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R4 : intégrer dans les critères de concours ou d’avancement la </w:t>
            </w:r>
            <w:r w:rsidR="003F33DE" w:rsidRPr="003F33DE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lastRenderedPageBreak/>
              <w:t xml:space="preserve">reconnaissance de la mobilité interne </w:t>
            </w:r>
          </w:p>
          <w:p w14:paraId="39B90495" w14:textId="263B9853" w:rsidR="008D4D3E" w:rsidRPr="003F33DE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216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430" w14:textId="4A362FAB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1C1" w14:textId="416BCB84" w:rsidR="00237D31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</w:t>
            </w:r>
            <w:r w:rsidR="00D00847"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RH</w:t>
            </w:r>
          </w:p>
          <w:p w14:paraId="66D91FC5" w14:textId="39D42BD7" w:rsidR="008D4D3E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VPAPP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63F" w14:textId="77777777" w:rsidR="00A522DE" w:rsidRPr="003C7134" w:rsidRDefault="00A522DE" w:rsidP="00A522D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Production de</w:t>
            </w:r>
            <w:r w:rsidRPr="003C7134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canevas actualisés de dossier de carrière par CNU/COMEVAL</w:t>
            </w:r>
          </w:p>
          <w:p w14:paraId="32A4BA75" w14:textId="2F68C971" w:rsidR="008D4D3E" w:rsidRPr="003C7134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</w:p>
        </w:tc>
      </w:tr>
      <w:tr w:rsidR="00AB48E0" w:rsidRPr="000E399B" w14:paraId="57791AF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02C" w14:textId="77777777" w:rsidR="0058036D" w:rsidRPr="0058036D" w:rsidRDefault="008D4D3E" w:rsidP="0058036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8036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lastRenderedPageBreak/>
              <w:t xml:space="preserve">12.2 </w:t>
            </w:r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R1-R2 : </w:t>
            </w:r>
            <w:proofErr w:type="gramStart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impliquer  les</w:t>
            </w:r>
            <w:proofErr w:type="gramEnd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chercheurs·euses</w:t>
            </w:r>
            <w:proofErr w:type="spellEnd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</w:t>
            </w:r>
            <w:proofErr w:type="spellEnd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-encadrant pendant que le </w:t>
            </w:r>
            <w:proofErr w:type="spellStart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doctorant·e</w:t>
            </w:r>
            <w:proofErr w:type="spellEnd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/</w:t>
            </w:r>
            <w:proofErr w:type="spellStart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Postdoctorant·e</w:t>
            </w:r>
            <w:proofErr w:type="spellEnd"/>
            <w:r w:rsidR="0058036D"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est en mobilité</w:t>
            </w:r>
          </w:p>
          <w:p w14:paraId="56554A84" w14:textId="77777777" w:rsidR="0058036D" w:rsidRPr="0058036D" w:rsidRDefault="0058036D" w:rsidP="0058036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R3-R4 : Améliorer le soutien aux </w:t>
            </w:r>
            <w:proofErr w:type="spellStart"/>
            <w:r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chercheur·euses</w:t>
            </w:r>
            <w:proofErr w:type="spellEnd"/>
            <w:r w:rsidRPr="0058036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mobilité internationale</w:t>
            </w:r>
          </w:p>
          <w:p w14:paraId="1EE19F6F" w14:textId="7A382262" w:rsidR="008D4D3E" w:rsidRPr="0058036D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8DE" w14:textId="7E888F4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29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ACB" w14:textId="03543712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EBC" w14:textId="77777777" w:rsidR="00237D31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VPI</w:t>
            </w:r>
          </w:p>
          <w:p w14:paraId="53D64B7D" w14:textId="4E9D8923" w:rsidR="00237D31" w:rsidRPr="007821A2" w:rsidRDefault="00891B7A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DGS</w:t>
            </w:r>
          </w:p>
          <w:p w14:paraId="1681680A" w14:textId="5F1AEABA" w:rsidR="008D4D3E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CAPLA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662" w14:textId="7E9088A9" w:rsidR="008D4D3E" w:rsidRPr="003C7134" w:rsidRDefault="00A522D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Nombre de </w:t>
            </w:r>
            <w:proofErr w:type="spellStart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chercheur·euses</w:t>
            </w:r>
            <w:proofErr w:type="spellEnd"/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en mobilité accompagnés par catégorie</w:t>
            </w:r>
          </w:p>
        </w:tc>
      </w:tr>
      <w:tr w:rsidR="00AB48E0" w:rsidRPr="000E399B" w14:paraId="4C8D1F7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2D2" w14:textId="6B5F7A05" w:rsidR="008D4D3E" w:rsidRPr="003A7160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13.1 </w:t>
            </w:r>
            <w:r w:rsidR="003A7160"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R1: identifier les </w:t>
            </w:r>
            <w:proofErr w:type="spellStart"/>
            <w:r w:rsidR="003A7160"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ancien·nes</w:t>
            </w:r>
            <w:proofErr w:type="spellEnd"/>
            <w:r w:rsidR="003A7160"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élèves pour créer un réseau d’</w:t>
            </w:r>
            <w:proofErr w:type="spellStart"/>
            <w:r w:rsidR="003A7160"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alumni</w:t>
            </w:r>
            <w:proofErr w:type="spellEnd"/>
            <w:r w:rsidR="003A7160" w:rsidRPr="003A716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3F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E33" w14:textId="25B2C94E" w:rsidR="008D4D3E" w:rsidRPr="008D4D3E" w:rsidRDefault="00CD50F4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D8D" w14:textId="34ECBE88" w:rsidR="00237D31" w:rsidRPr="000E399B" w:rsidRDefault="00D00847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DGDRH</w:t>
            </w:r>
          </w:p>
          <w:p w14:paraId="567E1C4E" w14:textId="77777777" w:rsidR="00237D31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DGS/DGDPSI</w:t>
            </w:r>
          </w:p>
          <w:p w14:paraId="4156D706" w14:textId="4C712789" w:rsidR="008D4D3E" w:rsidRPr="000E399B" w:rsidRDefault="00AB48E0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Fo</w:t>
            </w:r>
            <w:r w:rsidR="00237D31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ndation Eiffel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B9E" w14:textId="713FAE42" w:rsidR="008D4D3E" w:rsidRPr="003C7134" w:rsidRDefault="001D16B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Page web </w:t>
            </w: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du réseau constitué</w:t>
            </w:r>
          </w:p>
        </w:tc>
      </w:tr>
      <w:tr w:rsidR="00AB48E0" w:rsidRPr="000E399B" w14:paraId="14551734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3EC" w14:textId="4C333882" w:rsidR="008D4D3E" w:rsidRPr="000B6653" w:rsidRDefault="008D4D3E" w:rsidP="000B66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0B665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13.2 </w:t>
            </w:r>
            <w:r w:rsidR="000B6653" w:rsidRPr="000B665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R1 - R4 :  développer des compétences en anglais pour défendre des arguments, se vendre lors d'entretiens ou décrocher des projets ; en débouchant sur une certification</w:t>
            </w:r>
            <w:r w:rsidR="000B6653" w:rsidRPr="000B6653">
              <w:rPr>
                <w:rFonts w:ascii="Palatino Linotype" w:hAnsi="Palatino Linotype" w:cs="Arial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C52" w14:textId="6749973A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BBB" w14:textId="24762F37" w:rsidR="008D4D3E" w:rsidRPr="008D4D3E" w:rsidRDefault="00CD50F4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2025,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2026,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ABA" w14:textId="77777777" w:rsidR="00237D31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CAPLA</w:t>
            </w:r>
          </w:p>
          <w:p w14:paraId="30DD7BE3" w14:textId="625E87E1" w:rsidR="008D4D3E" w:rsidRPr="007821A2" w:rsidRDefault="00AB48E0" w:rsidP="00AB48E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Formation continue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CF8" w14:textId="46D93158" w:rsidR="008D4D3E" w:rsidRPr="003C7134" w:rsidRDefault="001D16B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Nombre de formations par an en anglais</w:t>
            </w:r>
          </w:p>
        </w:tc>
      </w:tr>
      <w:tr w:rsidR="00AB48E0" w:rsidRPr="000E399B" w14:paraId="1161FF7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8F4" w14:textId="2AD7E808" w:rsidR="008D4D3E" w:rsidRPr="002C4F79" w:rsidRDefault="008D4D3E" w:rsidP="002C4F7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2C4F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13.3 </w:t>
            </w:r>
            <w:r w:rsidR="002C4F79" w:rsidRPr="002C4F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R1-R2 : diffuser plus largement la formation et l’accompagnement au montage de projets postdoctoraux européens (type MSCA, ERC)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1EB" w14:textId="3C371C8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6F0" w14:textId="73E4009B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2025,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2026,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402" w14:textId="77777777" w:rsidR="00237D31" w:rsidRPr="007821A2" w:rsidRDefault="00237D31" w:rsidP="00237D3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</w:pPr>
            <w:r w:rsidRPr="007821A2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VPI</w:t>
            </w:r>
          </w:p>
          <w:p w14:paraId="538114B0" w14:textId="612AD50F" w:rsidR="008D4D3E" w:rsidRPr="007821A2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sz w:val="20"/>
                <w:szCs w:val="20"/>
                <w:lang w:eastAsia="de-DE"/>
              </w:rPr>
              <w:t>DGS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310" w14:textId="37C7FC27" w:rsidR="008D4D3E" w:rsidRPr="003C7134" w:rsidRDefault="00AA5FC1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Nombre de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chercheur.euses</w:t>
            </w:r>
            <w:proofErr w:type="spellEnd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accompagné</w:t>
            </w:r>
            <w:r w:rsidRPr="003C7134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·e</w:t>
            </w: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s</w:t>
            </w:r>
            <w:proofErr w:type="spellEnd"/>
          </w:p>
        </w:tc>
      </w:tr>
      <w:tr w:rsidR="00AB48E0" w:rsidRPr="000E399B" w14:paraId="68149FED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2C1" w14:textId="7F5D78AB" w:rsidR="008D4D3E" w:rsidRPr="00D25534" w:rsidRDefault="008D4D3E" w:rsidP="00D2553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D255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13.4 </w:t>
            </w:r>
            <w:r w:rsidR="00D25534" w:rsidRPr="00D2553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R2 : atelier de sensibilisation sur la "gestion des premières années de la carrière scientifique"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B7E" w14:textId="17BFFB83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178" w14:textId="0A6D4CA1" w:rsidR="008D4D3E" w:rsidRPr="008D4D3E" w:rsidRDefault="00CD50F4" w:rsidP="004D6D1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 xml:space="preserve"> 2027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4D6D1B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A7D" w14:textId="7A182D54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47C" w14:textId="60C208F5" w:rsidR="008D4D3E" w:rsidRPr="003C7134" w:rsidRDefault="00FC16FD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Nombre d'ateliers organisés par an/ Nombre de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participant</w:t>
            </w:r>
            <w:r w:rsidRPr="003C7134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·e</w:t>
            </w: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s</w:t>
            </w:r>
            <w:proofErr w:type="spellEnd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aux ateliers</w:t>
            </w:r>
          </w:p>
        </w:tc>
      </w:tr>
      <w:tr w:rsidR="00AB48E0" w:rsidRPr="000E399B" w14:paraId="579E0969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0DA" w14:textId="02D40EBB" w:rsidR="008D4D3E" w:rsidRPr="00616248" w:rsidRDefault="008D4D3E" w:rsidP="0061624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61624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14.1 </w:t>
            </w:r>
            <w:r w:rsidR="00616248" w:rsidRPr="0061624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R1 : inciter les écoles doctorales à déployer des formations sur les stratégies de publications pendant la période de la thèse, dont des ateliers sur le statut de </w:t>
            </w:r>
            <w:proofErr w:type="spellStart"/>
            <w:r w:rsidR="00616248" w:rsidRPr="0061624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co-auteur·trice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1C4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EBB" w14:textId="57032CDB" w:rsidR="008D4D3E" w:rsidRPr="008D4D3E" w:rsidRDefault="00CD50F4" w:rsidP="00DB480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T1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6AA" w14:textId="70B53A14" w:rsidR="008D4D3E" w:rsidRPr="007821A2" w:rsidRDefault="00AB48E0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Ecoles</w:t>
            </w:r>
            <w:proofErr w:type="spellEnd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doctorales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5D5" w14:textId="6E67E2F9" w:rsidR="008D4D3E" w:rsidRPr="003C7134" w:rsidRDefault="00DD5BB2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Nombre d'ateliers organisés par an/ Nombre de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participant</w:t>
            </w:r>
            <w:r w:rsidRPr="003C7134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·e</w:t>
            </w: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s</w:t>
            </w:r>
            <w:proofErr w:type="spellEnd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aux ateliers</w:t>
            </w:r>
          </w:p>
        </w:tc>
      </w:tr>
      <w:tr w:rsidR="00AB48E0" w:rsidRPr="000E399B" w14:paraId="0EF2F75A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15A" w14:textId="5B14576B" w:rsidR="008D4D3E" w:rsidRPr="003C1095" w:rsidRDefault="008D4D3E" w:rsidP="009572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lang w:val="fr-FR"/>
              </w:rPr>
            </w:pPr>
            <w:r w:rsidRPr="0095722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14.2 </w:t>
            </w:r>
            <w:r w:rsidR="0095722C" w:rsidRPr="0095722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R1-R4 : diffusion d'un guide de "bonnes pratiques pour la production scientifique collective" qui reconnait le travail de tous et toutes. Accessible en ligne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C39" w14:textId="138F4531" w:rsidR="008D4D3E" w:rsidRPr="008D4D3E" w:rsidRDefault="00DB480F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71" w14:textId="029AB660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T3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4F3" w14:textId="6CFEE415" w:rsidR="00237D31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VP Re</w:t>
            </w:r>
            <w:r w:rsidR="00AB48E0"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cherche</w:t>
            </w:r>
          </w:p>
          <w:p w14:paraId="421FC2D8" w14:textId="77777777" w:rsidR="00237D31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CEDIS</w:t>
            </w:r>
          </w:p>
          <w:p w14:paraId="779803C1" w14:textId="5782A485" w:rsidR="008D4D3E" w:rsidRPr="000E399B" w:rsidRDefault="00237D31" w:rsidP="00237D3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0E399B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>DGS/DGDSR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CD" w14:textId="6F937884" w:rsidR="008D4D3E" w:rsidRPr="003C7134" w:rsidRDefault="009A4EE0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Production du guide et sa diffusion sur l’intranet</w:t>
            </w:r>
          </w:p>
        </w:tc>
      </w:tr>
      <w:tr w:rsidR="00237D31" w:rsidRPr="008D4D3E" w14:paraId="2080E610" w14:textId="77777777" w:rsidTr="00AD256B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651" w14:textId="06A2219F" w:rsidR="00237D31" w:rsidRPr="003C7134" w:rsidRDefault="00A6778B" w:rsidP="00237D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 xml:space="preserve">Formation et </w:t>
            </w:r>
            <w:proofErr w:type="spellStart"/>
            <w:r w:rsidRPr="003C7134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développement</w:t>
            </w:r>
            <w:proofErr w:type="spellEnd"/>
          </w:p>
        </w:tc>
      </w:tr>
      <w:tr w:rsidR="00AB48E0" w:rsidRPr="008D4D3E" w14:paraId="279BADBE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7FD" w14:textId="6E19B0F2" w:rsidR="008D4D3E" w:rsidRPr="001F3615" w:rsidRDefault="008D4D3E" w:rsidP="008D4D3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F361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15.1 </w:t>
            </w:r>
            <w:r w:rsidR="001F3615" w:rsidRPr="001F361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Les </w:t>
            </w:r>
            <w:proofErr w:type="spellStart"/>
            <w:r w:rsidR="001F3615" w:rsidRPr="001F361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candidat·es</w:t>
            </w:r>
            <w:proofErr w:type="spellEnd"/>
            <w:r w:rsidR="001F3615" w:rsidRPr="001F361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qui envisagent d'occuper un poste de direction dans un laboratoire doivent suivre un ensemble de formations prédéfini avant le début de leur </w:t>
            </w:r>
            <w:r w:rsidR="001F3615" w:rsidRPr="001F361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 xml:space="preserve">exercice qui inclut, une fois nommés, le conseil aux jeunes chercheurs pour les accompagner vers l’obtention de l’HDR (Habilitation à Diriger des Recherches).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28B" w14:textId="77777777" w:rsidR="008D4D3E" w:rsidRPr="008D4D3E" w:rsidRDefault="008D4D3E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8D4D3E">
              <w:rPr>
                <w:rFonts w:asciiTheme="minorHAnsi" w:eastAsia="Times New Roman" w:hAnsiTheme="minorHAnsi" w:cstheme="minorHAnsi"/>
                <w:iCs/>
              </w:rPr>
              <w:lastRenderedPageBreak/>
              <w:t>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9BA" w14:textId="2C53F893" w:rsidR="008D4D3E" w:rsidRPr="008D4D3E" w:rsidRDefault="00CD50F4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2026,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2027,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T4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623" w14:textId="08008233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DB8" w14:textId="0FE30BA6" w:rsidR="008D4D3E" w:rsidRPr="003C7134" w:rsidRDefault="009A4EE0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</w:rPr>
              <w:t>Nombre</w:t>
            </w:r>
            <w:proofErr w:type="spellEnd"/>
            <w:r w:rsidRPr="003C71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formations</w:t>
            </w:r>
          </w:p>
        </w:tc>
      </w:tr>
      <w:tr w:rsidR="00AB48E0" w:rsidRPr="000E399B" w14:paraId="6EF965F6" w14:textId="77777777" w:rsidTr="008D4D3E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19F5" w14:textId="11172C62" w:rsidR="008D4D3E" w:rsidRPr="00D926DA" w:rsidRDefault="008D4D3E" w:rsidP="008D4D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D926D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  <w:t xml:space="preserve">15.2 </w:t>
            </w:r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Les </w:t>
            </w:r>
            <w:proofErr w:type="spellStart"/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chercheur·euses</w:t>
            </w:r>
            <w:proofErr w:type="spellEnd"/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qui obtiennent une HDR </w:t>
            </w:r>
            <w:r w:rsidR="00D926DA" w:rsidRPr="00D926DA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(R3-R4) </w:t>
            </w:r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et les nouveaux encadrants qui supervisent</w:t>
            </w:r>
            <w:r w:rsidR="00D926DA" w:rsidRPr="00D926DA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une thèse (R2-R3) </w:t>
            </w:r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doivent suivre un cours dédié à l'encadrement des </w:t>
            </w:r>
            <w:proofErr w:type="spellStart"/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doctorant·es</w:t>
            </w:r>
            <w:proofErr w:type="spellEnd"/>
            <w:r w:rsidR="00D926DA" w:rsidRPr="00D926D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(voir l'exemple de CLEAR-Doc).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DDE" w14:textId="701F9A4A" w:rsidR="008D4D3E" w:rsidRPr="008D4D3E" w:rsidRDefault="00891B7A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37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A86" w14:textId="1F47B96B" w:rsidR="008D4D3E" w:rsidRPr="008D4D3E" w:rsidRDefault="00CD50F4" w:rsidP="00987B7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DB480F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="008D4D3E" w:rsidRPr="008D4D3E">
              <w:rPr>
                <w:rFonts w:asciiTheme="minorHAnsi" w:eastAsia="Times New Roman" w:hAnsiTheme="minorHAnsi" w:cstheme="minorHAnsi"/>
                <w:iCs/>
              </w:rPr>
              <w:t>2027</w:t>
            </w:r>
            <w:r w:rsidR="00987B70">
              <w:rPr>
                <w:rFonts w:asciiTheme="minorHAnsi" w:eastAsia="Times New Roman" w:hAnsiTheme="minorHAnsi" w:cstheme="minorHAnsi"/>
                <w:iCs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987B70">
              <w:rPr>
                <w:rFonts w:asciiTheme="minorHAnsi" w:eastAsia="Times New Roman" w:hAnsiTheme="minorHAnsi" w:cstheme="minorHAnsi"/>
                <w:iCs/>
              </w:rPr>
              <w:t xml:space="preserve"> 2028,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987B70">
              <w:rPr>
                <w:rFonts w:asciiTheme="minorHAnsi" w:eastAsia="Times New Roman" w:hAnsiTheme="minorHAnsi" w:cstheme="minorHAnsi"/>
                <w:iCs/>
              </w:rPr>
              <w:t xml:space="preserve"> 2029, </w:t>
            </w:r>
            <w:r>
              <w:rPr>
                <w:rFonts w:asciiTheme="minorHAnsi" w:eastAsia="Times New Roman" w:hAnsiTheme="minorHAnsi" w:cstheme="minorHAnsi"/>
                <w:iCs/>
              </w:rPr>
              <w:t>T2</w:t>
            </w:r>
            <w:r w:rsidR="00987B70">
              <w:rPr>
                <w:rFonts w:asciiTheme="minorHAnsi" w:eastAsia="Times New Roman" w:hAnsiTheme="minorHAnsi" w:cstheme="minorHAnsi"/>
                <w:iCs/>
              </w:rPr>
              <w:t xml:space="preserve"> 2030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E74" w14:textId="1CC16376" w:rsidR="008D4D3E" w:rsidRPr="007821A2" w:rsidRDefault="00D00847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 w:rsidRPr="007821A2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DGDRH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7EF" w14:textId="389E6FE5" w:rsidR="008D4D3E" w:rsidRPr="003C7134" w:rsidRDefault="009A4EE0" w:rsidP="008D4D3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fr-FR"/>
              </w:rPr>
            </w:pP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Liste des membres du réseau de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chercheur.euses</w:t>
            </w:r>
            <w:proofErr w:type="spellEnd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encadrant ou supervisant une thèse </w:t>
            </w:r>
            <w:proofErr w:type="spellStart"/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formé</w:t>
            </w:r>
            <w:r w:rsidRPr="003C7134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t>·e</w:t>
            </w:r>
            <w:r w:rsidRPr="003C7134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s</w:t>
            </w:r>
            <w:proofErr w:type="spellEnd"/>
          </w:p>
        </w:tc>
      </w:tr>
    </w:tbl>
    <w:p w14:paraId="17731E52" w14:textId="77777777" w:rsidR="00D81555" w:rsidRPr="009A4EE0" w:rsidRDefault="00D81555">
      <w:pPr>
        <w:rPr>
          <w:rFonts w:asciiTheme="minorHAnsi" w:hAnsiTheme="minorHAnsi" w:cstheme="minorHAnsi"/>
          <w:iCs/>
          <w:lang w:val="fr-FR"/>
        </w:rPr>
      </w:pPr>
    </w:p>
    <w:sectPr w:rsidR="00D81555" w:rsidRPr="009A4EE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C610" w14:textId="77777777" w:rsidR="008E1D9C" w:rsidRDefault="008E1D9C" w:rsidP="008E1D9C">
      <w:pPr>
        <w:spacing w:after="0" w:line="240" w:lineRule="auto"/>
      </w:pPr>
      <w:r>
        <w:separator/>
      </w:r>
    </w:p>
  </w:endnote>
  <w:endnote w:type="continuationSeparator" w:id="0">
    <w:p w14:paraId="7C95BB8C" w14:textId="77777777" w:rsidR="008E1D9C" w:rsidRDefault="008E1D9C" w:rsidP="008E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778701"/>
      <w:docPartObj>
        <w:docPartGallery w:val="Page Numbers (Bottom of Page)"/>
        <w:docPartUnique/>
      </w:docPartObj>
    </w:sdtPr>
    <w:sdtEndPr/>
    <w:sdtContent>
      <w:p w14:paraId="3C1BCDC9" w14:textId="09D3DD97" w:rsidR="008E1D9C" w:rsidRDefault="008E1D9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6B" w:rsidRPr="00572F6B">
          <w:rPr>
            <w:noProof/>
            <w:lang w:val="fr-FR"/>
          </w:rPr>
          <w:t>1</w:t>
        </w:r>
        <w:r>
          <w:fldChar w:fldCharType="end"/>
        </w:r>
      </w:p>
    </w:sdtContent>
  </w:sdt>
  <w:p w14:paraId="451E59AF" w14:textId="77777777" w:rsidR="008E1D9C" w:rsidRDefault="008E1D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5487" w14:textId="77777777" w:rsidR="008E1D9C" w:rsidRDefault="008E1D9C" w:rsidP="008E1D9C">
      <w:pPr>
        <w:spacing w:after="0" w:line="240" w:lineRule="auto"/>
      </w:pPr>
      <w:r>
        <w:separator/>
      </w:r>
    </w:p>
  </w:footnote>
  <w:footnote w:type="continuationSeparator" w:id="0">
    <w:p w14:paraId="4B4E9AE3" w14:textId="77777777" w:rsidR="008E1D9C" w:rsidRDefault="008E1D9C" w:rsidP="008E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2564"/>
    <w:multiLevelType w:val="hybridMultilevel"/>
    <w:tmpl w:val="472E3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00603"/>
    <w:multiLevelType w:val="multilevel"/>
    <w:tmpl w:val="8F981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38"/>
    <w:rsid w:val="00053822"/>
    <w:rsid w:val="00063E88"/>
    <w:rsid w:val="00084C9A"/>
    <w:rsid w:val="000B6653"/>
    <w:rsid w:val="000D38BD"/>
    <w:rsid w:val="000E399B"/>
    <w:rsid w:val="000F592E"/>
    <w:rsid w:val="00116880"/>
    <w:rsid w:val="00117479"/>
    <w:rsid w:val="0014244D"/>
    <w:rsid w:val="00197C54"/>
    <w:rsid w:val="001A6CB8"/>
    <w:rsid w:val="001D16BA"/>
    <w:rsid w:val="001D1C2F"/>
    <w:rsid w:val="001E58E8"/>
    <w:rsid w:val="001F3615"/>
    <w:rsid w:val="002208EE"/>
    <w:rsid w:val="00237D31"/>
    <w:rsid w:val="002409BB"/>
    <w:rsid w:val="00297439"/>
    <w:rsid w:val="002A5C57"/>
    <w:rsid w:val="002C4F79"/>
    <w:rsid w:val="003300D2"/>
    <w:rsid w:val="00356EF6"/>
    <w:rsid w:val="00392219"/>
    <w:rsid w:val="003A7160"/>
    <w:rsid w:val="003B0C30"/>
    <w:rsid w:val="003C1095"/>
    <w:rsid w:val="003C7134"/>
    <w:rsid w:val="003F33DE"/>
    <w:rsid w:val="00412B71"/>
    <w:rsid w:val="0045097D"/>
    <w:rsid w:val="00473EB0"/>
    <w:rsid w:val="00481A38"/>
    <w:rsid w:val="00491D94"/>
    <w:rsid w:val="004A3794"/>
    <w:rsid w:val="004D6D1B"/>
    <w:rsid w:val="004F0C40"/>
    <w:rsid w:val="004F7C08"/>
    <w:rsid w:val="00540D18"/>
    <w:rsid w:val="005466C2"/>
    <w:rsid w:val="00566CB0"/>
    <w:rsid w:val="00572F6B"/>
    <w:rsid w:val="0058036D"/>
    <w:rsid w:val="00582DB4"/>
    <w:rsid w:val="005C1FF1"/>
    <w:rsid w:val="005D00ED"/>
    <w:rsid w:val="006008C4"/>
    <w:rsid w:val="00616248"/>
    <w:rsid w:val="00684490"/>
    <w:rsid w:val="006E1650"/>
    <w:rsid w:val="00730819"/>
    <w:rsid w:val="00735A91"/>
    <w:rsid w:val="00744994"/>
    <w:rsid w:val="00752482"/>
    <w:rsid w:val="007821A2"/>
    <w:rsid w:val="00797616"/>
    <w:rsid w:val="007D4C2E"/>
    <w:rsid w:val="008130A8"/>
    <w:rsid w:val="0086396C"/>
    <w:rsid w:val="00891B7A"/>
    <w:rsid w:val="008C5535"/>
    <w:rsid w:val="008D4D3E"/>
    <w:rsid w:val="008E1D9C"/>
    <w:rsid w:val="009316DF"/>
    <w:rsid w:val="00940882"/>
    <w:rsid w:val="0095722C"/>
    <w:rsid w:val="00974940"/>
    <w:rsid w:val="00987B70"/>
    <w:rsid w:val="00990E86"/>
    <w:rsid w:val="00996B9A"/>
    <w:rsid w:val="00997A8C"/>
    <w:rsid w:val="009A4EE0"/>
    <w:rsid w:val="009B4B92"/>
    <w:rsid w:val="00A45AD6"/>
    <w:rsid w:val="00A522DE"/>
    <w:rsid w:val="00A57DF1"/>
    <w:rsid w:val="00A6778B"/>
    <w:rsid w:val="00AA3306"/>
    <w:rsid w:val="00AA5FC1"/>
    <w:rsid w:val="00AB4520"/>
    <w:rsid w:val="00AB48E0"/>
    <w:rsid w:val="00AB6C0C"/>
    <w:rsid w:val="00AC5D06"/>
    <w:rsid w:val="00B02449"/>
    <w:rsid w:val="00B165A8"/>
    <w:rsid w:val="00B213A7"/>
    <w:rsid w:val="00B25D8B"/>
    <w:rsid w:val="00B36BDD"/>
    <w:rsid w:val="00B43724"/>
    <w:rsid w:val="00BA6B14"/>
    <w:rsid w:val="00BC045D"/>
    <w:rsid w:val="00BD6416"/>
    <w:rsid w:val="00BF05A2"/>
    <w:rsid w:val="00BF27A0"/>
    <w:rsid w:val="00CA4334"/>
    <w:rsid w:val="00CB616A"/>
    <w:rsid w:val="00CC0938"/>
    <w:rsid w:val="00CD50F4"/>
    <w:rsid w:val="00CE631C"/>
    <w:rsid w:val="00D00847"/>
    <w:rsid w:val="00D06C4D"/>
    <w:rsid w:val="00D2260A"/>
    <w:rsid w:val="00D25534"/>
    <w:rsid w:val="00D4248E"/>
    <w:rsid w:val="00D55A5E"/>
    <w:rsid w:val="00D81555"/>
    <w:rsid w:val="00D926DA"/>
    <w:rsid w:val="00DB480F"/>
    <w:rsid w:val="00DB6B38"/>
    <w:rsid w:val="00DD5BB2"/>
    <w:rsid w:val="00DE6DA5"/>
    <w:rsid w:val="00E23C23"/>
    <w:rsid w:val="00E67729"/>
    <w:rsid w:val="00EB1A18"/>
    <w:rsid w:val="00ED57DE"/>
    <w:rsid w:val="00ED63B2"/>
    <w:rsid w:val="00F20314"/>
    <w:rsid w:val="00F32ECD"/>
    <w:rsid w:val="00F731AD"/>
    <w:rsid w:val="00FB5CD0"/>
    <w:rsid w:val="00FC16FD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AF57"/>
  <w15:chartTrackingRefBased/>
  <w15:docId w15:val="{D149FC32-EFA7-4C15-B794-EED85BF4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B3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DB6B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6B3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6B38"/>
    <w:rPr>
      <w:rFonts w:ascii="Calibri" w:eastAsia="Calibri" w:hAnsi="Calibri" w:cs="Times New Roman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063E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761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E8"/>
    <w:rPr>
      <w:rFonts w:ascii="Segoe UI" w:eastAsia="Calibri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ED57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E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D9C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E1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D9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-egalite.univ-gustave-eiffel.fr/fileadmin/contributeurs/Mission-egalite/Plan/Plan_EFH_2024-2026_EN_vd.pdf" TargetMode="External"/><Relationship Id="rId13" Type="http://schemas.openxmlformats.org/officeDocument/2006/relationships/hyperlink" Target="https://mission-egalite.univ-gustave-eiffel.fr/agir-ensemble-pour-legalite/nos-engagements-et-nos-a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ssion-egalite.univ-gustave-eiffel.fr/agir-ensemble-pour-legalite/nos-engagements-et-nos-ac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rutement.univ-gustave-eiffel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crutement.univ-gustave-eiffel.fr/qui-sommes-no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sion-egalite.univ-gustave-eiffel.fr/fileadmin/contributeurs/Mission-egalite/Plan/Plan_EFH_2024-2026_EN_vd.pdf" TargetMode="External"/><Relationship Id="rId14" Type="http://schemas.openxmlformats.org/officeDocument/2006/relationships/hyperlink" Target="https://mission-ddrs.univ-gustave-eiffel.fr/fileadmin/contributeurs/DDRS/Politique_DD_RS/Schema_Directeur_DD_R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05ED-20D8-4D5F-AEBD-17478F75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2089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DESCHAMPS Flavie</dc:creator>
  <cp:keywords/>
  <dc:description/>
  <cp:lastModifiedBy>SHERRATT-ROUX Marie-Françoise</cp:lastModifiedBy>
  <cp:revision>9</cp:revision>
  <cp:lastPrinted>2025-08-12T11:31:00Z</cp:lastPrinted>
  <dcterms:created xsi:type="dcterms:W3CDTF">2025-09-09T14:23:00Z</dcterms:created>
  <dcterms:modified xsi:type="dcterms:W3CDTF">2025-09-10T06:38:00Z</dcterms:modified>
</cp:coreProperties>
</file>